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E0" w:rsidRPr="00AA16E0" w:rsidRDefault="00C91424" w:rsidP="00AA16E0">
      <w:pPr>
        <w:pStyle w:val="Sinespaciado"/>
        <w:jc w:val="both"/>
      </w:pPr>
      <w:r w:rsidRPr="00C91424">
        <w:t xml:space="preserve">Los motores </w:t>
      </w:r>
      <w:r>
        <w:t xml:space="preserve">asíncronos </w:t>
      </w:r>
      <w:r w:rsidRPr="00C91424">
        <w:t>de anillo deslizante</w:t>
      </w:r>
      <w:r>
        <w:t xml:space="preserve"> </w:t>
      </w:r>
      <w:r w:rsidRPr="00C91424">
        <w:t xml:space="preserve">de </w:t>
      </w:r>
      <w:r w:rsidR="002D78A1">
        <w:t xml:space="preserve">la serie MEBSGR de </w:t>
      </w:r>
      <w:r w:rsidRPr="00C91424">
        <w:t>MENZEL</w:t>
      </w:r>
      <w:r w:rsidR="002D78A1">
        <w:t xml:space="preserve"> con enfriamiento de superficie</w:t>
      </w:r>
      <w:r w:rsidRPr="00C91424">
        <w:t xml:space="preserve"> IC 411</w:t>
      </w:r>
      <w:r w:rsidR="002D78A1">
        <w:t xml:space="preserve"> </w:t>
      </w:r>
      <w:r w:rsidR="00AA16E0" w:rsidRPr="00AA16E0">
        <w:rPr>
          <w:lang w:eastAsia="es-PE"/>
        </w:rPr>
        <w:t xml:space="preserve">se caracterizan generalmente por pares elevados </w:t>
      </w:r>
      <w:r w:rsidR="002D78A1">
        <w:rPr>
          <w:lang w:eastAsia="es-PE"/>
        </w:rPr>
        <w:t>de arranque</w:t>
      </w:r>
      <w:r w:rsidR="00AA16E0" w:rsidRPr="00AA16E0">
        <w:rPr>
          <w:lang w:eastAsia="es-PE"/>
        </w:rPr>
        <w:t>, una corriente de arranque baja y un arranque suave con una carga alta. Su velocidad de rotación puede ser monitoreada por medios simples.</w:t>
      </w:r>
    </w:p>
    <w:p w:rsidR="002D78A1" w:rsidRDefault="002D78A1" w:rsidP="00AA16E0">
      <w:pPr>
        <w:pStyle w:val="Sinespaciado"/>
        <w:jc w:val="both"/>
        <w:rPr>
          <w:lang w:eastAsia="es-PE"/>
        </w:rPr>
      </w:pPr>
    </w:p>
    <w:p w:rsidR="00AA16E0" w:rsidRPr="00AA16E0" w:rsidRDefault="00AA16E0" w:rsidP="00AA16E0">
      <w:pPr>
        <w:pStyle w:val="Sinespaciado"/>
        <w:jc w:val="both"/>
        <w:rPr>
          <w:lang w:eastAsia="es-PE"/>
        </w:rPr>
      </w:pPr>
      <w:r w:rsidRPr="00AA16E0">
        <w:rPr>
          <w:lang w:eastAsia="es-PE"/>
        </w:rPr>
        <w:t xml:space="preserve">Los motores </w:t>
      </w:r>
      <w:r w:rsidR="002D78A1">
        <w:rPr>
          <w:lang w:eastAsia="es-PE"/>
        </w:rPr>
        <w:t xml:space="preserve">asíncronos </w:t>
      </w:r>
      <w:r w:rsidRPr="00AA16E0">
        <w:rPr>
          <w:lang w:eastAsia="es-PE"/>
        </w:rPr>
        <w:t>de la serie MEBSGR</w:t>
      </w:r>
      <w:r w:rsidR="002D78A1">
        <w:rPr>
          <w:lang w:eastAsia="es-PE"/>
        </w:rPr>
        <w:t xml:space="preserve"> de MENZEL</w:t>
      </w:r>
      <w:r w:rsidRPr="00AA16E0">
        <w:rPr>
          <w:lang w:eastAsia="es-PE"/>
        </w:rPr>
        <w:t xml:space="preserve"> se utilizan</w:t>
      </w:r>
      <w:r w:rsidR="002D78A1">
        <w:rPr>
          <w:lang w:eastAsia="es-PE"/>
        </w:rPr>
        <w:t xml:space="preserve"> en</w:t>
      </w:r>
      <w:r w:rsidRPr="00AA16E0">
        <w:rPr>
          <w:lang w:eastAsia="es-PE"/>
        </w:rPr>
        <w:t xml:space="preserve"> aplicaciones que requieren un alto momento de inercia o en caso de una fuente de alimentación débil. Son extremadamente confiables y también muy resistentes, debido a su diseño robusto, así como a la carcasa del motor resistente a la torsión y la vibración.</w:t>
      </w:r>
    </w:p>
    <w:p w:rsidR="002D78A1" w:rsidRDefault="002D78A1" w:rsidP="00AA16E0">
      <w:pPr>
        <w:pStyle w:val="Sinespaciado"/>
        <w:jc w:val="both"/>
        <w:rPr>
          <w:lang w:eastAsia="es-PE"/>
        </w:rPr>
      </w:pPr>
    </w:p>
    <w:p w:rsidR="00AA16E0" w:rsidRPr="00AA16E0" w:rsidRDefault="00AA16E0" w:rsidP="00AA16E0">
      <w:pPr>
        <w:pStyle w:val="Sinespaciado"/>
        <w:jc w:val="both"/>
        <w:rPr>
          <w:lang w:eastAsia="es-PE"/>
        </w:rPr>
      </w:pPr>
      <w:r w:rsidRPr="00AA16E0">
        <w:rPr>
          <w:lang w:eastAsia="es-PE"/>
        </w:rPr>
        <w:t xml:space="preserve">La serie MEBSGR </w:t>
      </w:r>
      <w:r w:rsidR="002D78A1">
        <w:rPr>
          <w:lang w:eastAsia="es-PE"/>
        </w:rPr>
        <w:t xml:space="preserve">de MENZEL </w:t>
      </w:r>
      <w:r w:rsidRPr="00AA16E0">
        <w:rPr>
          <w:lang w:eastAsia="es-PE"/>
        </w:rPr>
        <w:t>impresiona con la alta calidad del material, el uso de hojas de baja pérdida y el diseño sofisticado. Todos estos factores tienen un efecto positivo en la efectividad del motor. El uso de rodamientos de proporciones generosas y un diseño duradero también significa que los costos de mantenimiento de estos motores se mantienen muy bajos.</w:t>
      </w:r>
    </w:p>
    <w:p w:rsidR="00AD3929" w:rsidRDefault="00AD3929" w:rsidP="000A4311">
      <w:pPr>
        <w:pStyle w:val="Sinespaciado"/>
        <w:jc w:val="both"/>
        <w:rPr>
          <w:b/>
          <w:bCs/>
        </w:rPr>
      </w:pPr>
    </w:p>
    <w:p w:rsidR="000A4311" w:rsidRDefault="000A4311" w:rsidP="000A4311">
      <w:pPr>
        <w:pStyle w:val="Sinespaciado"/>
        <w:jc w:val="both"/>
        <w:rPr>
          <w:b/>
          <w:bCs/>
        </w:rPr>
      </w:pPr>
      <w:r w:rsidRPr="00496A30">
        <w:rPr>
          <w:b/>
          <w:bCs/>
        </w:rPr>
        <w:t xml:space="preserve">Versiones estándar de motores asíncronos de </w:t>
      </w:r>
      <w:r>
        <w:rPr>
          <w:b/>
          <w:bCs/>
        </w:rPr>
        <w:t>anillos deslizantes</w:t>
      </w:r>
      <w:r w:rsidRPr="00496A30">
        <w:rPr>
          <w:b/>
          <w:bCs/>
        </w:rPr>
        <w:t xml:space="preserve"> </w:t>
      </w:r>
      <w:r w:rsidR="00AA16E0">
        <w:rPr>
          <w:b/>
          <w:bCs/>
        </w:rPr>
        <w:t xml:space="preserve">con enfriamiento de superficie </w:t>
      </w:r>
      <w:r w:rsidR="00DE61DB">
        <w:rPr>
          <w:b/>
          <w:bCs/>
        </w:rPr>
        <w:t xml:space="preserve">IC </w:t>
      </w:r>
      <w:r w:rsidR="00AA16E0">
        <w:rPr>
          <w:b/>
          <w:bCs/>
        </w:rPr>
        <w:t>411</w:t>
      </w:r>
      <w:r w:rsidRPr="00496A30">
        <w:rPr>
          <w:b/>
          <w:bCs/>
        </w:rPr>
        <w:t>:</w:t>
      </w:r>
    </w:p>
    <w:p w:rsidR="000A4311" w:rsidRDefault="00AA16E0" w:rsidP="000A4311">
      <w:pPr>
        <w:pStyle w:val="Sinespaciad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B978D3">
            <wp:simplePos x="0" y="0"/>
            <wp:positionH relativeFrom="margin">
              <wp:align>left</wp:align>
            </wp:positionH>
            <wp:positionV relativeFrom="paragraph">
              <wp:posOffset>727655</wp:posOffset>
            </wp:positionV>
            <wp:extent cx="1436639" cy="1096203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39" cy="1096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380" w:type="dxa"/>
        <w:tblInd w:w="20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0"/>
        <w:gridCol w:w="5340"/>
      </w:tblGrid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Tipo de construcción: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>I</w:t>
            </w:r>
            <w:r>
              <w:t>M</w:t>
            </w:r>
            <w:r w:rsidRPr="00496A30">
              <w:t xml:space="preserve"> </w:t>
            </w:r>
            <w:r>
              <w:t>B</w:t>
            </w:r>
            <w:r w:rsidRPr="00496A30">
              <w:t>3, IM</w:t>
            </w:r>
            <w:r w:rsidR="00AA16E0">
              <w:t xml:space="preserve"> B35</w:t>
            </w:r>
            <w:r w:rsidRPr="00496A30">
              <w:t>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Clases de protección: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AA16E0" w:rsidP="00857CBE">
            <w:pPr>
              <w:pStyle w:val="Sinespaciado"/>
              <w:jc w:val="both"/>
            </w:pPr>
            <w:r>
              <w:t>IP 55, opcionalmente IP 65.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Voltaje: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 xml:space="preserve">De </w:t>
            </w:r>
            <w:r>
              <w:t>2</w:t>
            </w:r>
            <w:r w:rsidR="00AA16E0">
              <w:t>2</w:t>
            </w:r>
            <w:r>
              <w:t>0</w:t>
            </w:r>
            <w:r w:rsidRPr="00496A30">
              <w:t xml:space="preserve"> V a 13.800 V.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Altura del eje: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 xml:space="preserve">De </w:t>
            </w:r>
            <w:r w:rsidR="00AA16E0">
              <w:t>100</w:t>
            </w:r>
            <w:r w:rsidRPr="00496A30">
              <w:t xml:space="preserve"> a </w:t>
            </w:r>
            <w:r w:rsidR="00AA16E0">
              <w:t>5</w:t>
            </w:r>
            <w:r>
              <w:t>0</w:t>
            </w:r>
            <w:r w:rsidRPr="00496A30">
              <w:t>0.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 xml:space="preserve">Caja de </w:t>
            </w:r>
            <w:r>
              <w:rPr>
                <w:b/>
                <w:bCs/>
              </w:rPr>
              <w:t>bornes</w:t>
            </w:r>
            <w:r w:rsidRPr="00496A30">
              <w:rPr>
                <w:b/>
                <w:bCs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AA16E0" w:rsidP="00857CBE">
            <w:pPr>
              <w:pStyle w:val="Sinespaciado"/>
              <w:jc w:val="both"/>
            </w:pPr>
            <w:r>
              <w:t>Arriba</w:t>
            </w:r>
            <w:r w:rsidR="000A4311" w:rsidRPr="00496A30">
              <w:t>, giratoria por 4 x 90°.</w:t>
            </w:r>
          </w:p>
        </w:tc>
      </w:tr>
      <w:tr w:rsidR="000A4311" w:rsidRPr="00496A30" w:rsidTr="00857CBE">
        <w:trPr>
          <w:trHeight w:val="2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Carcasa del motor: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AA16E0" w:rsidP="00857CBE">
            <w:pPr>
              <w:pStyle w:val="Sinespaciado"/>
              <w:jc w:val="both"/>
            </w:pPr>
            <w:r>
              <w:t>Fundición gris resistente a la torsión con patas fundidas.</w:t>
            </w:r>
          </w:p>
        </w:tc>
      </w:tr>
      <w:tr w:rsidR="000A4311" w:rsidRPr="00496A30" w:rsidTr="00857CBE"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rPr>
                <w:b/>
                <w:bCs/>
              </w:rPr>
              <w:t>Utilización térmica: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4311" w:rsidRPr="00496A30" w:rsidRDefault="000A4311" w:rsidP="00857CBE">
            <w:pPr>
              <w:pStyle w:val="Sinespaciado"/>
              <w:jc w:val="both"/>
            </w:pPr>
            <w:r w:rsidRPr="00496A30">
              <w:t>F / B</w:t>
            </w:r>
          </w:p>
        </w:tc>
      </w:tr>
      <w:tr w:rsidR="000A4311" w:rsidRPr="00496A30" w:rsidTr="006C1818"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4311" w:rsidRPr="002567A5" w:rsidRDefault="000A4311" w:rsidP="00857CBE">
            <w:pPr>
              <w:pStyle w:val="Sinespaciad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567A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 xml:space="preserve">MENZEL también ofrece diseños especiales a medida de motores asíncronos de anillo deslizante </w:t>
            </w:r>
            <w:r w:rsidR="00AA16E0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con enfriamiento de superficie IC 411</w:t>
            </w:r>
            <w:r w:rsidRPr="002567A5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DE61DB" w:rsidRDefault="00DE61DB" w:rsidP="00DE61DB">
      <w:pPr>
        <w:pStyle w:val="Sinespaciado"/>
        <w:rPr>
          <w:b/>
          <w:bCs/>
        </w:rPr>
      </w:pPr>
    </w:p>
    <w:p w:rsidR="00DE61DB" w:rsidRDefault="00DE61DB" w:rsidP="00DE61DB">
      <w:pPr>
        <w:pStyle w:val="Sinespaciado"/>
        <w:rPr>
          <w:b/>
          <w:bCs/>
        </w:rPr>
      </w:pPr>
      <w:r w:rsidRPr="00496A30">
        <w:rPr>
          <w:b/>
          <w:bCs/>
        </w:rPr>
        <w:t xml:space="preserve">Ventajas de los motores asíncronos de </w:t>
      </w:r>
      <w:r>
        <w:rPr>
          <w:b/>
          <w:bCs/>
        </w:rPr>
        <w:t>anillos deslizantes</w:t>
      </w:r>
      <w:r w:rsidRPr="00496A30">
        <w:rPr>
          <w:b/>
          <w:bCs/>
        </w:rPr>
        <w:t xml:space="preserve"> </w:t>
      </w:r>
      <w:r w:rsidR="00AA16E0">
        <w:rPr>
          <w:b/>
          <w:bCs/>
        </w:rPr>
        <w:t>con enfriamiento de superficie</w:t>
      </w:r>
      <w:r w:rsidRPr="00496A30">
        <w:rPr>
          <w:b/>
          <w:bCs/>
        </w:rPr>
        <w:t xml:space="preserve"> IC </w:t>
      </w:r>
      <w:r w:rsidR="00AA16E0">
        <w:rPr>
          <w:b/>
          <w:bCs/>
        </w:rPr>
        <w:t>411</w:t>
      </w:r>
      <w:r w:rsidR="008C62AB">
        <w:rPr>
          <w:b/>
          <w:bCs/>
        </w:rPr>
        <w:t>:</w:t>
      </w:r>
    </w:p>
    <w:p w:rsidR="00DE61DB" w:rsidRDefault="00DE61DB" w:rsidP="00DE61DB">
      <w:pPr>
        <w:pStyle w:val="Sinespaciado"/>
        <w:rPr>
          <w:b/>
          <w:bCs/>
        </w:rPr>
      </w:pPr>
    </w:p>
    <w:tbl>
      <w:tblPr>
        <w:tblW w:w="10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8"/>
        <w:gridCol w:w="2687"/>
        <w:gridCol w:w="2699"/>
        <w:gridCol w:w="2686"/>
      </w:tblGrid>
      <w:tr w:rsidR="00DE61DB" w:rsidRPr="00496A30" w:rsidTr="00AA16E0">
        <w:trPr>
          <w:trHeight w:val="971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AA16E0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Excelente relación calidad – precio.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AA16E0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Factor de alta eficiencia.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AA16E0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Bajos costos de operación y mantenimiento.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AA16E0" w:rsidRDefault="00AA16E0" w:rsidP="00AA16E0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 w:rsidRPr="00AA16E0"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Diseños de rodamientos duraderos.</w:t>
            </w:r>
          </w:p>
        </w:tc>
      </w:tr>
      <w:tr w:rsidR="00DE61DB" w:rsidRPr="00496A30" w:rsidTr="00AA16E0">
        <w:trPr>
          <w:trHeight w:val="739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AA16E0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Tranquilo en la ejecución.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496A30" w:rsidRDefault="00AA16E0" w:rsidP="00DE61DB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Fiabilidad y larga vida del producto.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AA16E0" w:rsidRDefault="00AA16E0" w:rsidP="00AA16E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 w:rsidRPr="00AA16E0"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Alta capacidad de carga.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Pr="00AA16E0" w:rsidRDefault="00AA16E0" w:rsidP="00AA16E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 w:rsidRPr="00AA16E0">
              <w:rPr>
                <w:rFonts w:ascii="Arial" w:eastAsia="Times New Roman" w:hAnsi="Arial" w:cs="Arial"/>
                <w:sz w:val="20"/>
                <w:szCs w:val="36"/>
                <w:lang w:eastAsia="es-PE"/>
              </w:rPr>
              <w:t>Bajas emisiones de ruido.</w:t>
            </w:r>
          </w:p>
        </w:tc>
      </w:tr>
    </w:tbl>
    <w:p w:rsidR="00DE61DB" w:rsidRDefault="00DE61DB" w:rsidP="00DE61DB">
      <w:pPr>
        <w:pStyle w:val="Sinespaciado"/>
        <w:rPr>
          <w:b/>
          <w:bCs/>
        </w:rPr>
      </w:pPr>
    </w:p>
    <w:p w:rsidR="00D609AE" w:rsidRPr="006043F9" w:rsidRDefault="00DE61DB" w:rsidP="006043F9">
      <w:pPr>
        <w:pStyle w:val="Sinespaciado"/>
        <w:jc w:val="both"/>
        <w:rPr>
          <w:i/>
          <w:color w:val="FF0000"/>
        </w:rPr>
      </w:pPr>
      <w:r w:rsidRPr="006E0BE4">
        <w:rPr>
          <w:i/>
          <w:color w:val="FF0000"/>
        </w:rPr>
        <w:t xml:space="preserve">Galería de fotos que debe ir en la parte lateral derecha </w:t>
      </w:r>
      <w:r w:rsidR="006E2518">
        <w:rPr>
          <w:i/>
          <w:color w:val="FF0000"/>
        </w:rPr>
        <w:t>como en casos anteriores.</w:t>
      </w:r>
    </w:p>
    <w:p w:rsidR="00AD3929" w:rsidRDefault="006043F9" w:rsidP="00DE61DB">
      <w:pPr>
        <w:pStyle w:val="Sinespaciado"/>
        <w:rPr>
          <w:b/>
          <w:bCs/>
        </w:rPr>
      </w:pPr>
      <w:r>
        <w:rPr>
          <w:noProof/>
        </w:rPr>
        <w:drawing>
          <wp:inline distT="0" distB="0" distL="0" distR="0" wp14:anchorId="1E724DEC" wp14:editId="5B079288">
            <wp:extent cx="5048250" cy="1009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29" w:rsidRDefault="00AD3929" w:rsidP="00DE61DB">
      <w:pPr>
        <w:pStyle w:val="Sinespaciado"/>
        <w:rPr>
          <w:b/>
          <w:bCs/>
        </w:rPr>
      </w:pPr>
    </w:p>
    <w:p w:rsidR="00AD3929" w:rsidRDefault="00AD3929" w:rsidP="00DE61DB">
      <w:pPr>
        <w:pStyle w:val="Sinespaciado"/>
        <w:rPr>
          <w:b/>
          <w:bCs/>
        </w:rPr>
      </w:pPr>
    </w:p>
    <w:p w:rsidR="00AA16E0" w:rsidRDefault="00AA16E0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F012B0" w:rsidRDefault="00F012B0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6043F9" w:rsidRDefault="006043F9" w:rsidP="00DE61DB">
      <w:pPr>
        <w:pStyle w:val="Sinespaciado"/>
        <w:rPr>
          <w:b/>
          <w:bCs/>
        </w:rPr>
      </w:pPr>
    </w:p>
    <w:p w:rsidR="008C62AB" w:rsidRDefault="00DE61DB" w:rsidP="008C62AB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Valores de voltajes disponibles para motores asíncronos </w:t>
      </w:r>
      <w:r w:rsidR="002567A5">
        <w:rPr>
          <w:b/>
          <w:bCs/>
        </w:rPr>
        <w:t>de anillos deslizantes</w:t>
      </w:r>
      <w:r>
        <w:rPr>
          <w:b/>
          <w:bCs/>
        </w:rPr>
        <w:t xml:space="preserve"> </w:t>
      </w:r>
      <w:r w:rsidR="008C62AB">
        <w:rPr>
          <w:b/>
          <w:bCs/>
        </w:rPr>
        <w:t>con enfriamiento de superficie</w:t>
      </w:r>
      <w:r w:rsidR="008C62AB" w:rsidRPr="00496A30">
        <w:rPr>
          <w:b/>
          <w:bCs/>
        </w:rPr>
        <w:t xml:space="preserve"> IC </w:t>
      </w:r>
      <w:r w:rsidR="008C62AB">
        <w:rPr>
          <w:b/>
          <w:bCs/>
        </w:rPr>
        <w:t xml:space="preserve">411: </w:t>
      </w:r>
    </w:p>
    <w:p w:rsidR="008C62AB" w:rsidRDefault="008C62AB" w:rsidP="008C62AB">
      <w:pPr>
        <w:pStyle w:val="Sinespaciado"/>
        <w:rPr>
          <w:b/>
          <w:bCs/>
        </w:rPr>
      </w:pPr>
    </w:p>
    <w:tbl>
      <w:tblPr>
        <w:tblW w:w="11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45"/>
        <w:gridCol w:w="2905"/>
        <w:gridCol w:w="2685"/>
        <w:gridCol w:w="2865"/>
      </w:tblGrid>
      <w:tr w:rsidR="00DE61DB" w:rsidTr="00857CBE">
        <w:trPr>
          <w:trHeight w:val="528"/>
        </w:trPr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50Hz:</w:t>
            </w:r>
          </w:p>
        </w:tc>
        <w:tc>
          <w:tcPr>
            <w:tcW w:w="5550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lang w:eastAsia="es-PE"/>
              </w:rPr>
              <w:t>Tensión nominal a 60Hz:</w:t>
            </w:r>
          </w:p>
        </w:tc>
      </w:tr>
      <w:tr w:rsidR="00DE61DB" w:rsidTr="00857CBE">
        <w:trPr>
          <w:trHeight w:val="772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2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220 V, 320 V, 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380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400 V, 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420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500 V, 690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3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Baja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400 V, 4</w:t>
            </w:r>
            <w:r w:rsidR="006043F9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6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 V, 480 V, 500 V, 525 V, 575 V, 690 V.</w:t>
            </w:r>
          </w:p>
        </w:tc>
      </w:tr>
      <w:tr w:rsidR="00DE61DB" w:rsidTr="00857CBE">
        <w:trPr>
          <w:trHeight w:val="528"/>
        </w:trPr>
        <w:tc>
          <w:tcPr>
            <w:tcW w:w="264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4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90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3.000 V, 3.300 V, 5.000 V, 5.500 V, 6.000 V, 6.300 V, 6.600 V, 10.000 V, 10.500 V, 11.000 V.</w:t>
            </w:r>
          </w:p>
        </w:tc>
        <w:tc>
          <w:tcPr>
            <w:tcW w:w="26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DE61DB" w:rsidP="00857CBE">
            <w:pPr>
              <w:numPr>
                <w:ilvl w:val="0"/>
                <w:numId w:val="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0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20"/>
                <w:szCs w:val="20"/>
                <w:lang w:eastAsia="es-PE"/>
              </w:rPr>
              <w:t>Media y alta tensión:</w:t>
            </w:r>
          </w:p>
        </w:tc>
        <w:tc>
          <w:tcPr>
            <w:tcW w:w="286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61DB" w:rsidRDefault="002567A5" w:rsidP="00857CB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PE"/>
              </w:rPr>
            </w:pP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4.16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6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.000 V,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6.600 V, 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7.200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 xml:space="preserve"> V, 1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1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00 V, 1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3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2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00 V</w:t>
            </w:r>
            <w:r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, 13.800</w:t>
            </w:r>
            <w:r w:rsidR="00DE61DB"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  <w:t>.</w:t>
            </w:r>
          </w:p>
        </w:tc>
      </w:tr>
      <w:tr w:rsidR="002567A5" w:rsidTr="00EE7055">
        <w:trPr>
          <w:trHeight w:val="528"/>
        </w:trPr>
        <w:tc>
          <w:tcPr>
            <w:tcW w:w="11100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67A5" w:rsidRPr="002567A5" w:rsidRDefault="002567A5" w:rsidP="002567A5">
            <w:pPr>
              <w:pStyle w:val="Sinespaciado"/>
              <w:rPr>
                <w:i/>
                <w:sz w:val="20"/>
                <w:szCs w:val="20"/>
              </w:rPr>
            </w:pPr>
            <w:r w:rsidRPr="002567A5">
              <w:rPr>
                <w:i/>
                <w:sz w:val="20"/>
                <w:szCs w:val="20"/>
              </w:rPr>
              <w:t>MENZEL también puede implementar todos los voltajes especiales o desviaciones de tolerancia de voltaje a petición del cliente.</w:t>
            </w:r>
          </w:p>
          <w:p w:rsidR="002567A5" w:rsidRDefault="002567A5" w:rsidP="00857CBE">
            <w:pPr>
              <w:spacing w:after="0" w:line="240" w:lineRule="auto"/>
              <w:rPr>
                <w:rFonts w:ascii="Tahoma" w:eastAsia="Tahoma" w:hAnsi="Tahoma" w:cs="Tahoma"/>
                <w:color w:val="000000" w:themeColor="text1"/>
                <w:kern w:val="24"/>
                <w:sz w:val="19"/>
                <w:szCs w:val="19"/>
                <w:lang w:eastAsia="es-PE"/>
              </w:rPr>
            </w:pPr>
          </w:p>
        </w:tc>
      </w:tr>
    </w:tbl>
    <w:p w:rsidR="00DE61DB" w:rsidRDefault="00161C55" w:rsidP="00DE61DB">
      <w:pPr>
        <w:pStyle w:val="Sinespaciado"/>
        <w:jc w:val="both"/>
      </w:pPr>
      <w:r>
        <w:t>Aplicaciones típicas de los motores asíncronos de anillo deslizante de la serie MEBSGR de MENZEL:</w:t>
      </w:r>
    </w:p>
    <w:p w:rsidR="00161C55" w:rsidRDefault="00161C55" w:rsidP="00DE61DB">
      <w:pPr>
        <w:pStyle w:val="Sinespaciado"/>
        <w:jc w:val="both"/>
      </w:pPr>
    </w:p>
    <w:p w:rsidR="00161C55" w:rsidRPr="00F012B0" w:rsidRDefault="00161C55" w:rsidP="00DE61DB">
      <w:pPr>
        <w:pStyle w:val="Sinespaciado"/>
        <w:jc w:val="both"/>
        <w:rPr>
          <w:b/>
        </w:rPr>
      </w:pPr>
      <w:r w:rsidRPr="00F012B0">
        <w:rPr>
          <w:b/>
        </w:rPr>
        <w:t>Áreas típicas de uso: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del cemento.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papelera.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Administración del Agua.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metalúrgica.</w:t>
      </w:r>
    </w:p>
    <w:p w:rsidR="00161C55" w:rsidRDefault="00161C55" w:rsidP="00161C55">
      <w:pPr>
        <w:pStyle w:val="Sinespaciado"/>
        <w:numPr>
          <w:ilvl w:val="0"/>
          <w:numId w:val="9"/>
        </w:numPr>
        <w:jc w:val="both"/>
      </w:pPr>
      <w:r>
        <w:t>Industria de materias primas.</w:t>
      </w:r>
    </w:p>
    <w:p w:rsidR="00161C55" w:rsidRDefault="00161C55" w:rsidP="00161C55">
      <w:pPr>
        <w:pStyle w:val="Sinespaciado"/>
        <w:jc w:val="both"/>
      </w:pPr>
    </w:p>
    <w:p w:rsidR="00161C55" w:rsidRPr="00F012B0" w:rsidRDefault="00161C55" w:rsidP="00161C55">
      <w:pPr>
        <w:pStyle w:val="Sinespaciado"/>
        <w:jc w:val="both"/>
        <w:rPr>
          <w:b/>
        </w:rPr>
      </w:pPr>
      <w:r w:rsidRPr="00F012B0">
        <w:rPr>
          <w:b/>
        </w:rPr>
        <w:t>Aplicaciones típicas: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Unidades de molino.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Trituradoras.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Unidades de refinación.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Accionamiento de agua.</w:t>
      </w:r>
    </w:p>
    <w:p w:rsidR="00161C55" w:rsidRDefault="00161C55" w:rsidP="00161C55">
      <w:pPr>
        <w:pStyle w:val="Sinespaciado"/>
        <w:numPr>
          <w:ilvl w:val="0"/>
          <w:numId w:val="10"/>
        </w:numPr>
        <w:jc w:val="both"/>
      </w:pPr>
      <w:r>
        <w:t>Transmisión por correa transportadora.</w:t>
      </w:r>
    </w:p>
    <w:p w:rsidR="00161C55" w:rsidRDefault="00161C55" w:rsidP="002567A5">
      <w:pPr>
        <w:pStyle w:val="Sinespaciado"/>
        <w:jc w:val="both"/>
      </w:pPr>
    </w:p>
    <w:p w:rsidR="006E2518" w:rsidRDefault="002567A5" w:rsidP="006E2518">
      <w:pPr>
        <w:pStyle w:val="Sinespaciado"/>
        <w:rPr>
          <w:b/>
          <w:bCs/>
        </w:rPr>
      </w:pPr>
      <w:r w:rsidRPr="00E61CB9">
        <w:rPr>
          <w:b/>
        </w:rPr>
        <w:t xml:space="preserve">Principio de enfriamiento </w:t>
      </w:r>
      <w:r>
        <w:rPr>
          <w:b/>
          <w:bCs/>
        </w:rPr>
        <w:t xml:space="preserve">para motores asíncronos de anillos deslizantes </w:t>
      </w:r>
      <w:r w:rsidR="006E2518">
        <w:rPr>
          <w:b/>
          <w:bCs/>
        </w:rPr>
        <w:t>con enfriamiento de superficie</w:t>
      </w:r>
      <w:r w:rsidR="006E2518" w:rsidRPr="00496A30">
        <w:rPr>
          <w:b/>
          <w:bCs/>
        </w:rPr>
        <w:t xml:space="preserve"> IC </w:t>
      </w:r>
      <w:r w:rsidR="006E2518">
        <w:rPr>
          <w:b/>
          <w:bCs/>
        </w:rPr>
        <w:t xml:space="preserve">411: </w:t>
      </w:r>
    </w:p>
    <w:p w:rsidR="002567A5" w:rsidRDefault="002567A5" w:rsidP="002567A5">
      <w:pPr>
        <w:pStyle w:val="Sinespaciado"/>
        <w:jc w:val="both"/>
      </w:pPr>
    </w:p>
    <w:p w:rsidR="0047475D" w:rsidRDefault="008C62AB" w:rsidP="008C62AB">
      <w:pPr>
        <w:pStyle w:val="Sinespaciado"/>
        <w:jc w:val="both"/>
      </w:pPr>
      <w:r w:rsidRPr="008C62AB">
        <w:t xml:space="preserve">El motor </w:t>
      </w:r>
      <w:r>
        <w:t xml:space="preserve">asíncrono </w:t>
      </w:r>
      <w:r w:rsidRPr="008C62AB">
        <w:t>de anillo deslizante estándar en la clase de protección IP 55 tiene enfriamiento IC 411. </w:t>
      </w:r>
    </w:p>
    <w:p w:rsidR="0047475D" w:rsidRDefault="0047475D" w:rsidP="008C62AB">
      <w:pPr>
        <w:pStyle w:val="Sinespaciado"/>
        <w:jc w:val="both"/>
      </w:pPr>
    </w:p>
    <w:p w:rsidR="008C62AB" w:rsidRDefault="008C62AB" w:rsidP="008C62AB">
      <w:pPr>
        <w:pStyle w:val="Sinespaciado"/>
        <w:jc w:val="both"/>
      </w:pPr>
      <w:r w:rsidRPr="008C62AB">
        <w:t>Este tipo de enfriamiento corresponde al diseño de un motor refrigerado por superficie con una carcasa con aletas de enfriamiento y un ventilador externo montado en el eje. El calor disipado generado en el motor se envía a la carcasa del motor y se descarga por el aire de refrigeración del ventilador externo a través de las aletas de refrigeración.</w:t>
      </w:r>
    </w:p>
    <w:p w:rsidR="006E2518" w:rsidRPr="008C62AB" w:rsidRDefault="006E2518" w:rsidP="008C62AB">
      <w:pPr>
        <w:pStyle w:val="Sinespaciado"/>
        <w:jc w:val="both"/>
      </w:pPr>
    </w:p>
    <w:p w:rsidR="008C62AB" w:rsidRDefault="008C62AB" w:rsidP="008C62AB">
      <w:pPr>
        <w:pStyle w:val="Sinespaciado"/>
        <w:jc w:val="both"/>
      </w:pPr>
      <w:r w:rsidRPr="008C62AB">
        <w:t>Los motores</w:t>
      </w:r>
      <w:r w:rsidR="006E2518">
        <w:t xml:space="preserve"> asíncronos </w:t>
      </w:r>
      <w:r w:rsidRPr="008C62AB">
        <w:t>de anillo deslizante en la clase de enfriamiento IC 411</w:t>
      </w:r>
      <w:r w:rsidR="006E2518">
        <w:t>,</w:t>
      </w:r>
      <w:r w:rsidRPr="008C62AB">
        <w:t xml:space="preserve"> generalmente tienen ventiladores externos independientes de la rotación. El circuito de aire interno también es independiente de la rotación.</w:t>
      </w:r>
    </w:p>
    <w:p w:rsidR="006E2518" w:rsidRDefault="006E2518" w:rsidP="008C62AB">
      <w:pPr>
        <w:pStyle w:val="Sinespaciado"/>
        <w:jc w:val="both"/>
      </w:pPr>
    </w:p>
    <w:p w:rsidR="006E2518" w:rsidRDefault="006E2518" w:rsidP="006E2518">
      <w:pPr>
        <w:pStyle w:val="Sinespaciado"/>
        <w:jc w:val="center"/>
      </w:pPr>
      <w:r>
        <w:rPr>
          <w:noProof/>
        </w:rPr>
        <w:drawing>
          <wp:inline distT="0" distB="0" distL="0" distR="0" wp14:anchorId="4D03B273" wp14:editId="058B966E">
            <wp:extent cx="5310091" cy="2122819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1035" cy="214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18" w:rsidRDefault="006E2518" w:rsidP="006E2518">
      <w:pPr>
        <w:pStyle w:val="Sinespaciado"/>
        <w:jc w:val="center"/>
      </w:pPr>
      <w:r>
        <w:t>IC 411</w:t>
      </w:r>
    </w:p>
    <w:p w:rsidR="002567A5" w:rsidRDefault="002567A5" w:rsidP="008C62AB">
      <w:pPr>
        <w:pStyle w:val="Sinespaciado"/>
        <w:jc w:val="both"/>
      </w:pPr>
      <w:bookmarkStart w:id="0" w:name="_GoBack"/>
      <w:bookmarkEnd w:id="0"/>
    </w:p>
    <w:sectPr w:rsidR="002567A5" w:rsidSect="000A4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B5"/>
    <w:multiLevelType w:val="hybridMultilevel"/>
    <w:tmpl w:val="D77A1F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033"/>
    <w:multiLevelType w:val="hybridMultilevel"/>
    <w:tmpl w:val="A962C7C6"/>
    <w:lvl w:ilvl="0" w:tplc="88640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94C2D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0E044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18B2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4651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16C3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4C9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6A08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84C8F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71A68DD"/>
    <w:multiLevelType w:val="hybridMultilevel"/>
    <w:tmpl w:val="8E48E7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CE"/>
    <w:multiLevelType w:val="hybridMultilevel"/>
    <w:tmpl w:val="5A88A55E"/>
    <w:lvl w:ilvl="0" w:tplc="8E02740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4D79"/>
    <w:multiLevelType w:val="hybridMultilevel"/>
    <w:tmpl w:val="E52A33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665"/>
    <w:multiLevelType w:val="hybridMultilevel"/>
    <w:tmpl w:val="4872C7FE"/>
    <w:lvl w:ilvl="0" w:tplc="0FF0E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166F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A4F7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3061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3FE6D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C8CB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8B098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0CECC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F5677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30F768D"/>
    <w:multiLevelType w:val="hybridMultilevel"/>
    <w:tmpl w:val="99BE7380"/>
    <w:lvl w:ilvl="0" w:tplc="686A0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78D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6D4EA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6C8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4280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25AD7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3ACDC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7662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D46E1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9AC1B74"/>
    <w:multiLevelType w:val="hybridMultilevel"/>
    <w:tmpl w:val="EF52BA58"/>
    <w:lvl w:ilvl="0" w:tplc="3444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641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58C3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B05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4C89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3A56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1486D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35EEA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A056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AAC4C4C"/>
    <w:multiLevelType w:val="hybridMultilevel"/>
    <w:tmpl w:val="9E36F242"/>
    <w:lvl w:ilvl="0" w:tplc="80303298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7E9C8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D0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2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84D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ECF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6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44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C64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9142B"/>
    <w:multiLevelType w:val="hybridMultilevel"/>
    <w:tmpl w:val="D7C2F0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11"/>
    <w:rsid w:val="000A4311"/>
    <w:rsid w:val="00161C55"/>
    <w:rsid w:val="001A57F2"/>
    <w:rsid w:val="00235CA0"/>
    <w:rsid w:val="002567A5"/>
    <w:rsid w:val="002D78A1"/>
    <w:rsid w:val="0047475D"/>
    <w:rsid w:val="006043F9"/>
    <w:rsid w:val="006210EF"/>
    <w:rsid w:val="006E2518"/>
    <w:rsid w:val="008C62AB"/>
    <w:rsid w:val="00AA16E0"/>
    <w:rsid w:val="00AD3929"/>
    <w:rsid w:val="00AE2AC6"/>
    <w:rsid w:val="00C91424"/>
    <w:rsid w:val="00D609AE"/>
    <w:rsid w:val="00D9250B"/>
    <w:rsid w:val="00DE61DB"/>
    <w:rsid w:val="00EA21C2"/>
    <w:rsid w:val="00F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71547"/>
  <w15:chartTrackingRefBased/>
  <w15:docId w15:val="{92C7EB08-EE5D-4C45-9212-01EE52F9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DB"/>
  </w:style>
  <w:style w:type="paragraph" w:styleId="Ttulo3">
    <w:name w:val="heading 3"/>
    <w:basedOn w:val="Normal"/>
    <w:link w:val="Ttulo3Car"/>
    <w:uiPriority w:val="9"/>
    <w:qFormat/>
    <w:rsid w:val="00AA1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43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3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u-text-large">
    <w:name w:val="u-text-large"/>
    <w:basedOn w:val="Normal"/>
    <w:rsid w:val="00C9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91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A16E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A16E0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127">
          <w:marLeft w:val="0"/>
          <w:marRight w:val="0"/>
          <w:marTop w:val="0"/>
          <w:marBottom w:val="8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764">
                  <w:marLeft w:val="-180"/>
                  <w:marRight w:val="-180"/>
                  <w:marTop w:val="0"/>
                  <w:marBottom w:val="0"/>
                  <w:divBdr>
                    <w:top w:val="none" w:sz="0" w:space="0" w:color="DFDFD8"/>
                    <w:left w:val="none" w:sz="0" w:space="0" w:color="DFDFD8"/>
                    <w:bottom w:val="none" w:sz="0" w:space="0" w:color="auto"/>
                    <w:right w:val="none" w:sz="0" w:space="0" w:color="DFDFD8"/>
                  </w:divBdr>
                </w:div>
              </w:divsChild>
            </w:div>
          </w:divsChild>
        </w:div>
      </w:divsChild>
    </w:div>
    <w:div w:id="2114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Atacho</dc:creator>
  <cp:keywords/>
  <dc:description/>
  <cp:lastModifiedBy>Jean Atacho</cp:lastModifiedBy>
  <cp:revision>11</cp:revision>
  <dcterms:created xsi:type="dcterms:W3CDTF">2019-03-11T16:55:00Z</dcterms:created>
  <dcterms:modified xsi:type="dcterms:W3CDTF">2019-03-11T20:49:00Z</dcterms:modified>
</cp:coreProperties>
</file>