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BC1" w:rsidRPr="00460BC1" w:rsidRDefault="00460BC1" w:rsidP="00460BC1">
      <w:pPr>
        <w:pStyle w:val="Sinespaciado"/>
        <w:jc w:val="both"/>
      </w:pPr>
      <w:r w:rsidRPr="00460BC1">
        <w:t xml:space="preserve">Los motores </w:t>
      </w:r>
      <w:r>
        <w:t>de</w:t>
      </w:r>
      <w:r w:rsidRPr="00460BC1">
        <w:t xml:space="preserve"> anillo deslizante de MENZEL son la solución de accionamiento ideal para aplicaciones industriales con pares de arranque elevados o corrientes de arranque bajas sin el uso de electrónica de potencia.</w:t>
      </w:r>
    </w:p>
    <w:p w:rsidR="00460BC1" w:rsidRDefault="00460BC1" w:rsidP="00460BC1">
      <w:pPr>
        <w:pStyle w:val="Sinespaciado"/>
        <w:jc w:val="both"/>
      </w:pPr>
    </w:p>
    <w:p w:rsidR="00460BC1" w:rsidRDefault="00460BC1" w:rsidP="00460BC1">
      <w:pPr>
        <w:pStyle w:val="Sinespaciado"/>
        <w:jc w:val="both"/>
        <w:rPr>
          <w:lang w:eastAsia="es-PE"/>
        </w:rPr>
      </w:pPr>
      <w:r>
        <w:t>Los motores modulares</w:t>
      </w:r>
      <w:r w:rsidRPr="00460BC1">
        <w:t xml:space="preserve"> de anillo </w:t>
      </w:r>
      <w:r>
        <w:t>deslizante</w:t>
      </w:r>
      <w:r w:rsidRPr="00460BC1">
        <w:t xml:space="preserve"> </w:t>
      </w:r>
      <w:r>
        <w:t>de</w:t>
      </w:r>
      <w:r w:rsidRPr="00460BC1">
        <w:t xml:space="preserve"> la serie MEBSSL </w:t>
      </w:r>
      <w:r>
        <w:t xml:space="preserve">de MENZEL con enfriamiento </w:t>
      </w:r>
      <w:r w:rsidRPr="00460BC1">
        <w:t>con intercambiador de calor aire-aire en las clases IC 611, IC 616 e IC 666</w:t>
      </w:r>
      <w:r>
        <w:t>, e</w:t>
      </w:r>
      <w:r w:rsidRPr="00460BC1">
        <w:rPr>
          <w:lang w:eastAsia="es-PE"/>
        </w:rPr>
        <w:t>stablecen estándares técnicos con respecto al tamaño del marco, el rendimiento, la rentabilidad y la confiabilidad. Son fáciles de mantener, tienen un diseño robusto y también tienen una larga vida útil debido a la cámara interior del anillo deslizante. Esto significa que son ideales para operaciones de manejo en condiciones extremas de operación.</w:t>
      </w:r>
    </w:p>
    <w:p w:rsidR="00460BC1" w:rsidRPr="00460BC1" w:rsidRDefault="00460BC1" w:rsidP="00460BC1">
      <w:pPr>
        <w:pStyle w:val="Sinespaciado"/>
        <w:jc w:val="both"/>
      </w:pPr>
    </w:p>
    <w:p w:rsidR="004A3ED2" w:rsidRDefault="00460BC1" w:rsidP="00460BC1">
      <w:pPr>
        <w:pStyle w:val="Sinespaciado"/>
        <w:jc w:val="both"/>
        <w:rPr>
          <w:lang w:eastAsia="es-PE"/>
        </w:rPr>
      </w:pPr>
      <w:r w:rsidRPr="00460BC1">
        <w:rPr>
          <w:lang w:eastAsia="es-PE"/>
        </w:rPr>
        <w:t>Para evitar que el polvo y la suciedad entren en el motor, los motores MEBSSL en las clases de enfriamiento IC 611, IC 616 e IC 666 están equipados con un sistema de enfriamiento cerrado en forma de intercambiador de calor aire-aire. Como el intercambiador de calor aire-aire y la carcasa del motor se desacoplan, la instalación y el mantenimiento de estos motores de anillo deslizante son particularmente sencillos. </w:t>
      </w:r>
    </w:p>
    <w:p w:rsidR="004A3ED2" w:rsidRDefault="004A3ED2" w:rsidP="00460BC1">
      <w:pPr>
        <w:pStyle w:val="Sinespaciado"/>
        <w:jc w:val="both"/>
        <w:rPr>
          <w:lang w:eastAsia="es-PE"/>
        </w:rPr>
      </w:pPr>
    </w:p>
    <w:p w:rsidR="00AD3929" w:rsidRPr="004A3ED2" w:rsidRDefault="00460BC1" w:rsidP="000A4311">
      <w:pPr>
        <w:pStyle w:val="Sinespaciado"/>
        <w:jc w:val="both"/>
        <w:rPr>
          <w:lang w:eastAsia="es-PE"/>
        </w:rPr>
      </w:pPr>
      <w:r w:rsidRPr="00460BC1">
        <w:rPr>
          <w:lang w:eastAsia="es-PE"/>
        </w:rPr>
        <w:t>La construcción también proporciona una gran ventana de mantenimiento para los anillos de deslizamiento. La cámara interior del anillo deslizante permite reemplazar el rodamiento sin desmontar los anillos deslizantes.</w:t>
      </w:r>
      <w:r w:rsidR="004A3ED2">
        <w:rPr>
          <w:lang w:eastAsia="es-PE"/>
        </w:rPr>
        <w:t xml:space="preserve"> </w:t>
      </w:r>
      <w:r w:rsidRPr="00460BC1">
        <w:rPr>
          <w:lang w:eastAsia="es-PE"/>
        </w:rPr>
        <w:t xml:space="preserve">Como es el caso de todos los motores eléctricos </w:t>
      </w:r>
      <w:r w:rsidR="004A3ED2">
        <w:rPr>
          <w:lang w:eastAsia="es-PE"/>
        </w:rPr>
        <w:t xml:space="preserve">de </w:t>
      </w:r>
      <w:r w:rsidRPr="00460BC1">
        <w:rPr>
          <w:lang w:eastAsia="es-PE"/>
        </w:rPr>
        <w:t xml:space="preserve">MENZEL, </w:t>
      </w:r>
      <w:r w:rsidR="004A3ED2">
        <w:rPr>
          <w:lang w:eastAsia="es-PE"/>
        </w:rPr>
        <w:t>los</w:t>
      </w:r>
      <w:r w:rsidRPr="00460BC1">
        <w:rPr>
          <w:lang w:eastAsia="es-PE"/>
        </w:rPr>
        <w:t xml:space="preserve"> motores modulares de anillo deslizante se producen de acuerdo con las normas europeas EN 60034 e IEC 34.</w:t>
      </w:r>
    </w:p>
    <w:p w:rsidR="00460BC1" w:rsidRDefault="00460BC1" w:rsidP="000A4311">
      <w:pPr>
        <w:pStyle w:val="Sinespaciado"/>
        <w:jc w:val="both"/>
        <w:rPr>
          <w:b/>
          <w:bCs/>
        </w:rPr>
      </w:pPr>
    </w:p>
    <w:p w:rsidR="00466871" w:rsidRDefault="00466871" w:rsidP="000A4311">
      <w:pPr>
        <w:pStyle w:val="Sinespaciado"/>
        <w:jc w:val="both"/>
        <w:rPr>
          <w:b/>
          <w:bCs/>
        </w:rPr>
      </w:pPr>
    </w:p>
    <w:p w:rsidR="000A4311" w:rsidRDefault="000A4311" w:rsidP="000A4311">
      <w:pPr>
        <w:pStyle w:val="Sinespaciado"/>
        <w:jc w:val="both"/>
        <w:rPr>
          <w:b/>
          <w:bCs/>
        </w:rPr>
      </w:pPr>
      <w:r w:rsidRPr="00496A30">
        <w:rPr>
          <w:b/>
          <w:bCs/>
        </w:rPr>
        <w:t xml:space="preserve">Versiones estándar de motores asíncronos de </w:t>
      </w:r>
      <w:r>
        <w:rPr>
          <w:b/>
          <w:bCs/>
        </w:rPr>
        <w:t>anillos deslizantes</w:t>
      </w:r>
      <w:r w:rsidRPr="00496A30">
        <w:rPr>
          <w:b/>
          <w:bCs/>
        </w:rPr>
        <w:t xml:space="preserve"> </w:t>
      </w:r>
      <w:r w:rsidR="00AA16E0">
        <w:rPr>
          <w:b/>
          <w:bCs/>
        </w:rPr>
        <w:t xml:space="preserve">con enfriamiento </w:t>
      </w:r>
      <w:r w:rsidR="004A3ED2">
        <w:rPr>
          <w:b/>
          <w:bCs/>
        </w:rPr>
        <w:t>de intercambiadores de calor aire – aire IC 611, IC 616 e IC 666</w:t>
      </w:r>
      <w:r w:rsidRPr="00496A30">
        <w:rPr>
          <w:b/>
          <w:bCs/>
        </w:rPr>
        <w:t>:</w:t>
      </w:r>
    </w:p>
    <w:p w:rsidR="000A4311" w:rsidRDefault="004A3ED2" w:rsidP="000A4311">
      <w:pPr>
        <w:pStyle w:val="Sinespaciado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FEBE4FF">
            <wp:simplePos x="0" y="0"/>
            <wp:positionH relativeFrom="margin">
              <wp:posOffset>0</wp:posOffset>
            </wp:positionH>
            <wp:positionV relativeFrom="paragraph">
              <wp:posOffset>542290</wp:posOffset>
            </wp:positionV>
            <wp:extent cx="1497330" cy="1247775"/>
            <wp:effectExtent l="0" t="0" r="762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733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8380" w:type="dxa"/>
        <w:tblInd w:w="209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040"/>
        <w:gridCol w:w="5340"/>
      </w:tblGrid>
      <w:tr w:rsidR="000A4311" w:rsidRPr="00496A30" w:rsidTr="00857CBE">
        <w:trPr>
          <w:trHeight w:val="28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4311" w:rsidRPr="00496A30" w:rsidRDefault="000A4311" w:rsidP="00857CBE">
            <w:pPr>
              <w:pStyle w:val="Sinespaciado"/>
              <w:jc w:val="both"/>
            </w:pPr>
            <w:r w:rsidRPr="00496A30">
              <w:rPr>
                <w:b/>
                <w:bCs/>
              </w:rPr>
              <w:t>Tipo de construcción: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4311" w:rsidRPr="00496A30" w:rsidRDefault="000A4311" w:rsidP="00857CBE">
            <w:pPr>
              <w:pStyle w:val="Sinespaciado"/>
              <w:jc w:val="both"/>
            </w:pPr>
            <w:r w:rsidRPr="00496A30">
              <w:t>I</w:t>
            </w:r>
            <w:r>
              <w:t>M</w:t>
            </w:r>
            <w:r w:rsidRPr="00496A30">
              <w:t xml:space="preserve"> </w:t>
            </w:r>
            <w:r>
              <w:t>B</w:t>
            </w:r>
            <w:r w:rsidRPr="00496A30">
              <w:t>3, IM</w:t>
            </w:r>
            <w:r w:rsidR="00AA16E0">
              <w:t xml:space="preserve"> </w:t>
            </w:r>
            <w:r w:rsidR="004A3ED2">
              <w:t>V1.</w:t>
            </w:r>
          </w:p>
        </w:tc>
      </w:tr>
      <w:tr w:rsidR="000A4311" w:rsidRPr="00496A30" w:rsidTr="00857CBE">
        <w:trPr>
          <w:trHeight w:val="28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4311" w:rsidRPr="00496A30" w:rsidRDefault="000A4311" w:rsidP="00857CBE">
            <w:pPr>
              <w:pStyle w:val="Sinespaciado"/>
              <w:jc w:val="both"/>
            </w:pPr>
            <w:r w:rsidRPr="00496A30">
              <w:rPr>
                <w:b/>
                <w:bCs/>
              </w:rPr>
              <w:t>Clases de protección: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4311" w:rsidRPr="00496A30" w:rsidRDefault="00AA16E0" w:rsidP="00857CBE">
            <w:pPr>
              <w:pStyle w:val="Sinespaciado"/>
              <w:jc w:val="both"/>
            </w:pPr>
            <w:r>
              <w:t>IP 55, opcionalmente IP 65.</w:t>
            </w:r>
          </w:p>
        </w:tc>
      </w:tr>
      <w:tr w:rsidR="000A4311" w:rsidRPr="00496A30" w:rsidTr="00857CBE">
        <w:trPr>
          <w:trHeight w:val="28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4311" w:rsidRPr="00496A30" w:rsidRDefault="000A4311" w:rsidP="00857CBE">
            <w:pPr>
              <w:pStyle w:val="Sinespaciado"/>
              <w:jc w:val="both"/>
            </w:pPr>
            <w:r w:rsidRPr="00496A30">
              <w:rPr>
                <w:b/>
                <w:bCs/>
              </w:rPr>
              <w:t>Voltaje: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4311" w:rsidRPr="00496A30" w:rsidRDefault="000A4311" w:rsidP="00857CBE">
            <w:pPr>
              <w:pStyle w:val="Sinespaciado"/>
              <w:jc w:val="both"/>
            </w:pPr>
            <w:r w:rsidRPr="00496A30">
              <w:t xml:space="preserve">De </w:t>
            </w:r>
            <w:r>
              <w:t>2</w:t>
            </w:r>
            <w:r w:rsidR="004A3ED2">
              <w:t>3</w:t>
            </w:r>
            <w:r>
              <w:t>0</w:t>
            </w:r>
            <w:r w:rsidRPr="00496A30">
              <w:t xml:space="preserve"> V a 13.800 V.</w:t>
            </w:r>
          </w:p>
        </w:tc>
      </w:tr>
      <w:tr w:rsidR="000A4311" w:rsidRPr="00496A30" w:rsidTr="00857CBE">
        <w:trPr>
          <w:trHeight w:val="28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4311" w:rsidRPr="00496A30" w:rsidRDefault="000A4311" w:rsidP="00857CBE">
            <w:pPr>
              <w:pStyle w:val="Sinespaciado"/>
              <w:jc w:val="both"/>
            </w:pPr>
            <w:r w:rsidRPr="00496A30">
              <w:rPr>
                <w:b/>
                <w:bCs/>
              </w:rPr>
              <w:t>Altura del eje: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4311" w:rsidRPr="00496A30" w:rsidRDefault="000A4311" w:rsidP="00857CBE">
            <w:pPr>
              <w:pStyle w:val="Sinespaciado"/>
              <w:jc w:val="both"/>
            </w:pPr>
            <w:r w:rsidRPr="00496A30">
              <w:t xml:space="preserve">De </w:t>
            </w:r>
            <w:r w:rsidR="00AA16E0">
              <w:t>100</w:t>
            </w:r>
            <w:r w:rsidRPr="00496A30">
              <w:t xml:space="preserve"> a </w:t>
            </w:r>
            <w:r w:rsidR="004A3ED2">
              <w:t>9</w:t>
            </w:r>
            <w:r>
              <w:t>0</w:t>
            </w:r>
            <w:r w:rsidRPr="00496A30">
              <w:t>0.</w:t>
            </w:r>
          </w:p>
        </w:tc>
      </w:tr>
      <w:tr w:rsidR="000A4311" w:rsidRPr="00496A30" w:rsidTr="00857CBE">
        <w:trPr>
          <w:trHeight w:val="28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4311" w:rsidRPr="00496A30" w:rsidRDefault="000A4311" w:rsidP="00857CBE">
            <w:pPr>
              <w:pStyle w:val="Sinespaciado"/>
              <w:jc w:val="both"/>
            </w:pPr>
            <w:r w:rsidRPr="00496A30">
              <w:rPr>
                <w:b/>
                <w:bCs/>
              </w:rPr>
              <w:t xml:space="preserve">Caja de </w:t>
            </w:r>
            <w:r>
              <w:rPr>
                <w:b/>
                <w:bCs/>
              </w:rPr>
              <w:t>bornes</w:t>
            </w:r>
            <w:r w:rsidRPr="00496A30">
              <w:rPr>
                <w:b/>
                <w:bCs/>
              </w:rPr>
              <w:t>: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4311" w:rsidRPr="00496A30" w:rsidRDefault="004A3ED2" w:rsidP="00857CBE">
            <w:pPr>
              <w:pStyle w:val="Sinespaciado"/>
              <w:jc w:val="both"/>
            </w:pPr>
            <w:r>
              <w:t>Derecha o izquierda</w:t>
            </w:r>
            <w:r w:rsidR="000A4311" w:rsidRPr="00496A30">
              <w:t>, giratoria por 4 x 90°.</w:t>
            </w:r>
          </w:p>
        </w:tc>
      </w:tr>
      <w:tr w:rsidR="000A4311" w:rsidRPr="00496A30" w:rsidTr="00857CBE">
        <w:trPr>
          <w:trHeight w:val="28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4311" w:rsidRPr="00496A30" w:rsidRDefault="000A4311" w:rsidP="00857CBE">
            <w:pPr>
              <w:pStyle w:val="Sinespaciado"/>
              <w:jc w:val="both"/>
            </w:pPr>
            <w:r w:rsidRPr="00496A30">
              <w:rPr>
                <w:b/>
                <w:bCs/>
              </w:rPr>
              <w:t>Carcasa del motor: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4311" w:rsidRPr="00496A30" w:rsidRDefault="004A3ED2" w:rsidP="00857CBE">
            <w:pPr>
              <w:pStyle w:val="Sinespaciado"/>
              <w:jc w:val="both"/>
            </w:pPr>
            <w:r>
              <w:t>De acero soldado con reposapiés integrados.</w:t>
            </w:r>
          </w:p>
        </w:tc>
      </w:tr>
      <w:tr w:rsidR="000A4311" w:rsidRPr="00496A30" w:rsidTr="00857CBE"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4311" w:rsidRPr="00496A30" w:rsidRDefault="000A4311" w:rsidP="00857CBE">
            <w:pPr>
              <w:pStyle w:val="Sinespaciado"/>
              <w:jc w:val="both"/>
            </w:pPr>
            <w:r w:rsidRPr="00496A30">
              <w:rPr>
                <w:b/>
                <w:bCs/>
              </w:rPr>
              <w:t>Utilización térmica: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4311" w:rsidRPr="00496A30" w:rsidRDefault="000A4311" w:rsidP="00857CBE">
            <w:pPr>
              <w:pStyle w:val="Sinespaciado"/>
              <w:jc w:val="both"/>
            </w:pPr>
            <w:r w:rsidRPr="00496A30">
              <w:t>F / B</w:t>
            </w:r>
            <w:r w:rsidR="004A3ED2">
              <w:t xml:space="preserve"> opcionalmente H.</w:t>
            </w:r>
          </w:p>
        </w:tc>
      </w:tr>
      <w:tr w:rsidR="000A4311" w:rsidRPr="00496A30" w:rsidTr="006C1818">
        <w:tc>
          <w:tcPr>
            <w:tcW w:w="8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A4311" w:rsidRPr="004A3ED2" w:rsidRDefault="000A4311" w:rsidP="00857CBE">
            <w:pPr>
              <w:pStyle w:val="Sinespaciado"/>
              <w:jc w:val="both"/>
              <w:rPr>
                <w:rFonts w:cstheme="minorHAnsi"/>
                <w:i/>
                <w:sz w:val="20"/>
                <w:szCs w:val="20"/>
                <w:shd w:val="clear" w:color="auto" w:fill="FFFFFF"/>
              </w:rPr>
            </w:pPr>
            <w:r w:rsidRPr="002567A5">
              <w:rPr>
                <w:rFonts w:cstheme="minorHAnsi"/>
                <w:i/>
                <w:sz w:val="20"/>
                <w:szCs w:val="20"/>
                <w:shd w:val="clear" w:color="auto" w:fill="FFFFFF"/>
              </w:rPr>
              <w:t xml:space="preserve">MENZEL también ofrece diseños especiales a medida de motores asíncronos de anillo deslizante </w:t>
            </w:r>
            <w:r w:rsidR="00AA16E0">
              <w:rPr>
                <w:rFonts w:cstheme="minorHAnsi"/>
                <w:i/>
                <w:sz w:val="20"/>
                <w:szCs w:val="20"/>
                <w:shd w:val="clear" w:color="auto" w:fill="FFFFFF"/>
              </w:rPr>
              <w:t xml:space="preserve">con enfriamiento </w:t>
            </w:r>
            <w:r w:rsidR="004A3ED2">
              <w:rPr>
                <w:rFonts w:cstheme="minorHAnsi"/>
                <w:i/>
                <w:sz w:val="20"/>
                <w:szCs w:val="20"/>
                <w:shd w:val="clear" w:color="auto" w:fill="FFFFFF"/>
              </w:rPr>
              <w:t>de intercambiadores de calor aire – aire IC 611, IC 616 e IC 666</w:t>
            </w:r>
            <w:r w:rsidRPr="002567A5">
              <w:rPr>
                <w:rFonts w:cstheme="minorHAnsi"/>
                <w:i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DE61DB" w:rsidRDefault="00DE61DB" w:rsidP="00DE61DB">
      <w:pPr>
        <w:pStyle w:val="Sinespaciado"/>
        <w:rPr>
          <w:b/>
          <w:bCs/>
        </w:rPr>
      </w:pPr>
    </w:p>
    <w:p w:rsidR="00466871" w:rsidRDefault="00466871" w:rsidP="00DE61DB">
      <w:pPr>
        <w:pStyle w:val="Sinespaciado"/>
        <w:rPr>
          <w:b/>
          <w:bCs/>
        </w:rPr>
      </w:pPr>
    </w:p>
    <w:p w:rsidR="00466871" w:rsidRDefault="00466871" w:rsidP="00DE61DB">
      <w:pPr>
        <w:pStyle w:val="Sinespaciado"/>
        <w:rPr>
          <w:b/>
          <w:bCs/>
        </w:rPr>
      </w:pPr>
    </w:p>
    <w:p w:rsidR="00DE61DB" w:rsidRDefault="00DE61DB" w:rsidP="00DE61DB">
      <w:pPr>
        <w:pStyle w:val="Sinespaciado"/>
        <w:rPr>
          <w:b/>
          <w:bCs/>
        </w:rPr>
      </w:pPr>
      <w:r w:rsidRPr="00496A30">
        <w:rPr>
          <w:b/>
          <w:bCs/>
        </w:rPr>
        <w:t xml:space="preserve">Ventajas de los motores asíncronos de </w:t>
      </w:r>
      <w:r>
        <w:rPr>
          <w:b/>
          <w:bCs/>
        </w:rPr>
        <w:t>anillos deslizantes</w:t>
      </w:r>
      <w:r w:rsidRPr="00496A30">
        <w:rPr>
          <w:b/>
          <w:bCs/>
        </w:rPr>
        <w:t xml:space="preserve"> </w:t>
      </w:r>
      <w:r w:rsidR="00AA16E0">
        <w:rPr>
          <w:b/>
          <w:bCs/>
        </w:rPr>
        <w:t xml:space="preserve">con enfriamiento </w:t>
      </w:r>
      <w:r w:rsidR="003233CD">
        <w:rPr>
          <w:b/>
          <w:bCs/>
        </w:rPr>
        <w:t>de intercambiadores de calor IC 611, IC 616 e IC 666.</w:t>
      </w:r>
    </w:p>
    <w:p w:rsidR="00DE61DB" w:rsidRDefault="00DE61DB" w:rsidP="00DE61DB">
      <w:pPr>
        <w:pStyle w:val="Sinespaciado"/>
        <w:rPr>
          <w:b/>
          <w:bCs/>
        </w:rPr>
      </w:pPr>
    </w:p>
    <w:tbl>
      <w:tblPr>
        <w:tblW w:w="107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776"/>
        <w:gridCol w:w="2649"/>
        <w:gridCol w:w="2674"/>
        <w:gridCol w:w="2661"/>
      </w:tblGrid>
      <w:tr w:rsidR="00DE61DB" w:rsidRPr="00496A30" w:rsidTr="00AA16E0">
        <w:trPr>
          <w:trHeight w:val="971"/>
        </w:trPr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61DB" w:rsidRPr="00496A30" w:rsidRDefault="004A3ED2" w:rsidP="00DE61DB">
            <w:pPr>
              <w:numPr>
                <w:ilvl w:val="0"/>
                <w:numId w:val="1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sz w:val="20"/>
                <w:szCs w:val="36"/>
                <w:lang w:eastAsia="es-PE"/>
              </w:rPr>
            </w:pPr>
            <w:r>
              <w:rPr>
                <w:rFonts w:ascii="Tahoma" w:eastAsia="Tahoma" w:hAnsi="Tahoma" w:cs="Tahoma"/>
                <w:color w:val="000000" w:themeColor="text1"/>
                <w:kern w:val="24"/>
                <w:sz w:val="20"/>
                <w:szCs w:val="20"/>
                <w:lang w:eastAsia="es-PE"/>
              </w:rPr>
              <w:t>Alto nivel de eficiencia y costos operativos extremadamente bajos.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61DB" w:rsidRPr="00496A30" w:rsidRDefault="004A3ED2" w:rsidP="00DE61DB">
            <w:pPr>
              <w:numPr>
                <w:ilvl w:val="0"/>
                <w:numId w:val="1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sz w:val="20"/>
                <w:szCs w:val="36"/>
                <w:lang w:eastAsia="es-PE"/>
              </w:rPr>
            </w:pPr>
            <w:r>
              <w:rPr>
                <w:rFonts w:ascii="Arial" w:eastAsia="Times New Roman" w:hAnsi="Arial" w:cs="Arial"/>
                <w:sz w:val="20"/>
                <w:szCs w:val="36"/>
                <w:lang w:eastAsia="es-PE"/>
              </w:rPr>
              <w:t>Diseño compacto, tamaño pequeño y bajo peso.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61DB" w:rsidRPr="00496A30" w:rsidRDefault="004A3ED2" w:rsidP="00DE61DB">
            <w:pPr>
              <w:numPr>
                <w:ilvl w:val="0"/>
                <w:numId w:val="1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sz w:val="20"/>
                <w:szCs w:val="36"/>
                <w:lang w:eastAsia="es-PE"/>
              </w:rPr>
            </w:pPr>
            <w:r>
              <w:rPr>
                <w:rFonts w:ascii="Arial" w:eastAsia="Times New Roman" w:hAnsi="Arial" w:cs="Arial"/>
                <w:sz w:val="20"/>
                <w:szCs w:val="36"/>
                <w:lang w:eastAsia="es-PE"/>
              </w:rPr>
              <w:t>Diseño de rodamientos fiable y duradero.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61DB" w:rsidRPr="003233CD" w:rsidRDefault="004A3ED2" w:rsidP="003233CD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es-PE"/>
              </w:rPr>
            </w:pPr>
            <w:r w:rsidRPr="003233CD">
              <w:rPr>
                <w:rFonts w:ascii="Arial" w:eastAsia="Times New Roman" w:hAnsi="Arial" w:cs="Arial"/>
                <w:sz w:val="20"/>
                <w:szCs w:val="36"/>
                <w:lang w:eastAsia="es-PE"/>
              </w:rPr>
              <w:t xml:space="preserve">Buenos valores de vibración </w:t>
            </w:r>
            <w:r w:rsidR="003233CD" w:rsidRPr="003233CD">
              <w:rPr>
                <w:rFonts w:ascii="Arial" w:eastAsia="Times New Roman" w:hAnsi="Arial" w:cs="Arial"/>
                <w:sz w:val="20"/>
                <w:szCs w:val="36"/>
                <w:lang w:eastAsia="es-PE"/>
              </w:rPr>
              <w:t>y bajos costos de mantenimiento.</w:t>
            </w:r>
          </w:p>
        </w:tc>
      </w:tr>
      <w:tr w:rsidR="00DE61DB" w:rsidRPr="00496A30" w:rsidTr="00AA16E0">
        <w:trPr>
          <w:trHeight w:val="739"/>
        </w:trPr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61DB" w:rsidRPr="00496A30" w:rsidRDefault="003233CD" w:rsidP="00DE61DB">
            <w:pPr>
              <w:numPr>
                <w:ilvl w:val="0"/>
                <w:numId w:val="1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sz w:val="20"/>
                <w:szCs w:val="36"/>
                <w:lang w:eastAsia="es-PE"/>
              </w:rPr>
            </w:pPr>
            <w:r>
              <w:rPr>
                <w:rFonts w:ascii="Tahoma" w:eastAsia="Tahoma" w:hAnsi="Tahoma" w:cs="Tahoma"/>
                <w:color w:val="000000" w:themeColor="text1"/>
                <w:kern w:val="24"/>
                <w:sz w:val="20"/>
                <w:szCs w:val="20"/>
                <w:lang w:eastAsia="es-PE"/>
              </w:rPr>
              <w:t>Fiabilidad y larga vida del producto.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61DB" w:rsidRPr="00496A30" w:rsidRDefault="003233CD" w:rsidP="00DE61DB">
            <w:pPr>
              <w:numPr>
                <w:ilvl w:val="0"/>
                <w:numId w:val="1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sz w:val="20"/>
                <w:szCs w:val="36"/>
                <w:lang w:eastAsia="es-PE"/>
              </w:rPr>
            </w:pPr>
            <w:r>
              <w:rPr>
                <w:rFonts w:ascii="Tahoma" w:eastAsia="Tahoma" w:hAnsi="Tahoma" w:cs="Tahoma"/>
                <w:color w:val="000000" w:themeColor="text1"/>
                <w:kern w:val="24"/>
                <w:sz w:val="20"/>
                <w:szCs w:val="20"/>
                <w:lang w:eastAsia="es-PE"/>
              </w:rPr>
              <w:t>Alta capacidad de carga.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61DB" w:rsidRPr="00AA16E0" w:rsidRDefault="003233CD" w:rsidP="00AA16E0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es-PE"/>
              </w:rPr>
            </w:pPr>
            <w:r>
              <w:rPr>
                <w:rFonts w:ascii="Arial" w:eastAsia="Times New Roman" w:hAnsi="Arial" w:cs="Arial"/>
                <w:sz w:val="20"/>
                <w:szCs w:val="36"/>
                <w:lang w:eastAsia="es-PE"/>
              </w:rPr>
              <w:t>Bajas emisiones de ruido.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61DB" w:rsidRPr="00AA16E0" w:rsidRDefault="003233CD" w:rsidP="00AA16E0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es-PE"/>
              </w:rPr>
            </w:pPr>
            <w:r>
              <w:rPr>
                <w:rFonts w:ascii="Arial" w:eastAsia="Times New Roman" w:hAnsi="Arial" w:cs="Arial"/>
                <w:sz w:val="20"/>
                <w:szCs w:val="36"/>
                <w:lang w:eastAsia="es-PE"/>
              </w:rPr>
              <w:t>Diseños especiales.</w:t>
            </w:r>
          </w:p>
        </w:tc>
      </w:tr>
    </w:tbl>
    <w:p w:rsidR="00DE61DB" w:rsidRDefault="00DE61DB" w:rsidP="00DE61DB">
      <w:pPr>
        <w:pStyle w:val="Sinespaciado"/>
        <w:rPr>
          <w:b/>
          <w:bCs/>
        </w:rPr>
      </w:pPr>
    </w:p>
    <w:p w:rsidR="00466871" w:rsidRDefault="00466871" w:rsidP="006043F9">
      <w:pPr>
        <w:pStyle w:val="Sinespaciado"/>
        <w:jc w:val="both"/>
        <w:rPr>
          <w:i/>
          <w:color w:val="FF0000"/>
        </w:rPr>
      </w:pPr>
    </w:p>
    <w:p w:rsidR="00466871" w:rsidRDefault="00466871" w:rsidP="006043F9">
      <w:pPr>
        <w:pStyle w:val="Sinespaciado"/>
        <w:jc w:val="both"/>
        <w:rPr>
          <w:i/>
          <w:color w:val="FF0000"/>
        </w:rPr>
      </w:pPr>
    </w:p>
    <w:p w:rsidR="00466871" w:rsidRDefault="00466871" w:rsidP="006043F9">
      <w:pPr>
        <w:pStyle w:val="Sinespaciado"/>
        <w:jc w:val="both"/>
        <w:rPr>
          <w:i/>
          <w:color w:val="FF0000"/>
        </w:rPr>
      </w:pPr>
    </w:p>
    <w:p w:rsidR="00466871" w:rsidRDefault="00466871" w:rsidP="006043F9">
      <w:pPr>
        <w:pStyle w:val="Sinespaciado"/>
        <w:jc w:val="both"/>
        <w:rPr>
          <w:i/>
          <w:color w:val="FF0000"/>
        </w:rPr>
      </w:pPr>
    </w:p>
    <w:p w:rsidR="00D609AE" w:rsidRPr="006043F9" w:rsidRDefault="00DE61DB" w:rsidP="006043F9">
      <w:pPr>
        <w:pStyle w:val="Sinespaciado"/>
        <w:jc w:val="both"/>
        <w:rPr>
          <w:i/>
          <w:color w:val="FF0000"/>
        </w:rPr>
      </w:pPr>
      <w:r w:rsidRPr="006E0BE4">
        <w:rPr>
          <w:i/>
          <w:color w:val="FF0000"/>
        </w:rPr>
        <w:lastRenderedPageBreak/>
        <w:t xml:space="preserve">Galería de fotos que debe ir en la parte lateral derecha </w:t>
      </w:r>
      <w:r w:rsidR="006E2518">
        <w:rPr>
          <w:i/>
          <w:color w:val="FF0000"/>
        </w:rPr>
        <w:t>como en casos anteriores.</w:t>
      </w:r>
    </w:p>
    <w:p w:rsidR="00AD3929" w:rsidRDefault="00AD3929" w:rsidP="00DE61DB">
      <w:pPr>
        <w:pStyle w:val="Sinespaciado"/>
        <w:rPr>
          <w:b/>
          <w:bCs/>
        </w:rPr>
      </w:pPr>
    </w:p>
    <w:p w:rsidR="006043F9" w:rsidRDefault="00466871" w:rsidP="00DE61DB">
      <w:pPr>
        <w:pStyle w:val="Sinespaciado"/>
        <w:rPr>
          <w:b/>
          <w:bCs/>
        </w:rPr>
      </w:pPr>
      <w:r>
        <w:rPr>
          <w:noProof/>
        </w:rPr>
        <w:drawing>
          <wp:inline distT="0" distB="0" distL="0" distR="0" wp14:anchorId="41E5E396" wp14:editId="18D51685">
            <wp:extent cx="6296025" cy="19907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3F9" w:rsidRDefault="006043F9" w:rsidP="00DE61DB">
      <w:pPr>
        <w:pStyle w:val="Sinespaciado"/>
        <w:rPr>
          <w:b/>
          <w:bCs/>
        </w:rPr>
      </w:pPr>
    </w:p>
    <w:p w:rsidR="006043F9" w:rsidRDefault="006043F9" w:rsidP="00DE61DB">
      <w:pPr>
        <w:pStyle w:val="Sinespaciado"/>
        <w:rPr>
          <w:b/>
          <w:bCs/>
        </w:rPr>
      </w:pPr>
    </w:p>
    <w:p w:rsidR="008C62AB" w:rsidRDefault="00DE61DB" w:rsidP="008C62AB">
      <w:pPr>
        <w:pStyle w:val="Sinespaciado"/>
        <w:rPr>
          <w:b/>
          <w:bCs/>
        </w:rPr>
      </w:pPr>
      <w:r>
        <w:rPr>
          <w:b/>
          <w:bCs/>
        </w:rPr>
        <w:t xml:space="preserve">Valores de voltajes disponibles para motores asíncronos </w:t>
      </w:r>
      <w:r w:rsidR="002567A5">
        <w:rPr>
          <w:b/>
          <w:bCs/>
        </w:rPr>
        <w:t>de anillos deslizantes</w:t>
      </w:r>
      <w:r>
        <w:rPr>
          <w:b/>
          <w:bCs/>
        </w:rPr>
        <w:t xml:space="preserve"> </w:t>
      </w:r>
      <w:r w:rsidR="008C62AB">
        <w:rPr>
          <w:b/>
          <w:bCs/>
        </w:rPr>
        <w:t xml:space="preserve">con enfriamiento </w:t>
      </w:r>
      <w:r w:rsidR="00466871">
        <w:rPr>
          <w:b/>
          <w:bCs/>
        </w:rPr>
        <w:t>de interca</w:t>
      </w:r>
      <w:r w:rsidR="00CD0D09">
        <w:rPr>
          <w:b/>
          <w:bCs/>
        </w:rPr>
        <w:t>mbiadores de calor aire – aire</w:t>
      </w:r>
      <w:r w:rsidR="008C62AB" w:rsidRPr="00496A30">
        <w:rPr>
          <w:b/>
          <w:bCs/>
        </w:rPr>
        <w:t xml:space="preserve"> IC </w:t>
      </w:r>
      <w:r w:rsidR="00CD0D09">
        <w:rPr>
          <w:b/>
          <w:bCs/>
        </w:rPr>
        <w:t>611, IC 616 e IC 666</w:t>
      </w:r>
      <w:r w:rsidR="008C62AB">
        <w:rPr>
          <w:b/>
          <w:bCs/>
        </w:rPr>
        <w:t xml:space="preserve">: </w:t>
      </w:r>
    </w:p>
    <w:p w:rsidR="008C62AB" w:rsidRDefault="008C62AB" w:rsidP="008C62AB">
      <w:pPr>
        <w:pStyle w:val="Sinespaciado"/>
        <w:rPr>
          <w:b/>
          <w:bCs/>
        </w:rPr>
      </w:pPr>
    </w:p>
    <w:tbl>
      <w:tblPr>
        <w:tblW w:w="111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45"/>
        <w:gridCol w:w="2905"/>
        <w:gridCol w:w="2685"/>
        <w:gridCol w:w="2865"/>
      </w:tblGrid>
      <w:tr w:rsidR="00DE61DB" w:rsidTr="00857CBE">
        <w:trPr>
          <w:trHeight w:val="528"/>
        </w:trPr>
        <w:tc>
          <w:tcPr>
            <w:tcW w:w="5550" w:type="dxa"/>
            <w:gridSpan w:val="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61DB" w:rsidRDefault="00DE61DB" w:rsidP="00857CB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PE"/>
              </w:rPr>
            </w:pPr>
            <w:r>
              <w:rPr>
                <w:rFonts w:ascii="Tahoma" w:eastAsia="Tahoma" w:hAnsi="Tahoma" w:cs="Tahoma"/>
                <w:b/>
                <w:bCs/>
                <w:color w:val="000000" w:themeColor="text1"/>
                <w:kern w:val="24"/>
                <w:lang w:eastAsia="es-PE"/>
              </w:rPr>
              <w:t>Tensión nominal a 50Hz:</w:t>
            </w:r>
          </w:p>
        </w:tc>
        <w:tc>
          <w:tcPr>
            <w:tcW w:w="5550" w:type="dxa"/>
            <w:gridSpan w:val="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61DB" w:rsidRDefault="00DE61DB" w:rsidP="00857CB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PE"/>
              </w:rPr>
            </w:pPr>
            <w:r>
              <w:rPr>
                <w:rFonts w:ascii="Tahoma" w:eastAsia="Tahoma" w:hAnsi="Tahoma" w:cs="Tahoma"/>
                <w:b/>
                <w:bCs/>
                <w:color w:val="000000" w:themeColor="text1"/>
                <w:kern w:val="24"/>
                <w:lang w:eastAsia="es-PE"/>
              </w:rPr>
              <w:t>Tensión nominal a 60Hz:</w:t>
            </w:r>
          </w:p>
        </w:tc>
      </w:tr>
      <w:tr w:rsidR="00DE61DB" w:rsidTr="00857CBE">
        <w:trPr>
          <w:trHeight w:val="772"/>
        </w:trPr>
        <w:tc>
          <w:tcPr>
            <w:tcW w:w="2645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61DB" w:rsidRDefault="00DE61DB" w:rsidP="00857CBE">
            <w:pPr>
              <w:numPr>
                <w:ilvl w:val="0"/>
                <w:numId w:val="2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sz w:val="20"/>
                <w:szCs w:val="36"/>
                <w:lang w:eastAsia="es-PE"/>
              </w:rPr>
            </w:pPr>
            <w:r>
              <w:rPr>
                <w:rFonts w:ascii="Tahoma" w:eastAsia="Tahoma" w:hAnsi="Tahoma" w:cs="Tahoma"/>
                <w:color w:val="000000" w:themeColor="text1"/>
                <w:kern w:val="24"/>
                <w:sz w:val="20"/>
                <w:szCs w:val="20"/>
                <w:lang w:eastAsia="es-PE"/>
              </w:rPr>
              <w:t>Baja tensión:</w:t>
            </w:r>
          </w:p>
        </w:tc>
        <w:tc>
          <w:tcPr>
            <w:tcW w:w="2905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61DB" w:rsidRDefault="00DE61DB" w:rsidP="00857CB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PE"/>
              </w:rPr>
            </w:pPr>
            <w:r>
              <w:rPr>
                <w:rFonts w:ascii="Tahoma" w:eastAsia="Tahoma" w:hAnsi="Tahoma" w:cs="Tahoma"/>
                <w:color w:val="000000" w:themeColor="text1"/>
                <w:kern w:val="24"/>
                <w:sz w:val="19"/>
                <w:szCs w:val="19"/>
                <w:lang w:eastAsia="es-PE"/>
              </w:rPr>
              <w:t>220 V, 320 V</w:t>
            </w:r>
            <w:r w:rsidR="006043F9">
              <w:rPr>
                <w:rFonts w:ascii="Tahoma" w:eastAsia="Tahoma" w:hAnsi="Tahoma" w:cs="Tahoma"/>
                <w:color w:val="000000" w:themeColor="text1"/>
                <w:kern w:val="24"/>
                <w:sz w:val="19"/>
                <w:szCs w:val="19"/>
                <w:lang w:eastAsia="es-PE"/>
              </w:rPr>
              <w:t xml:space="preserve">, </w:t>
            </w:r>
            <w:r>
              <w:rPr>
                <w:rFonts w:ascii="Tahoma" w:eastAsia="Tahoma" w:hAnsi="Tahoma" w:cs="Tahoma"/>
                <w:color w:val="000000" w:themeColor="text1"/>
                <w:kern w:val="24"/>
                <w:sz w:val="19"/>
                <w:szCs w:val="19"/>
                <w:lang w:eastAsia="es-PE"/>
              </w:rPr>
              <w:t>400 V</w:t>
            </w:r>
            <w:r w:rsidR="006043F9">
              <w:rPr>
                <w:rFonts w:ascii="Tahoma" w:eastAsia="Tahoma" w:hAnsi="Tahoma" w:cs="Tahoma"/>
                <w:color w:val="000000" w:themeColor="text1"/>
                <w:kern w:val="24"/>
                <w:sz w:val="19"/>
                <w:szCs w:val="19"/>
                <w:lang w:eastAsia="es-PE"/>
              </w:rPr>
              <w:t xml:space="preserve">, </w:t>
            </w:r>
            <w:r>
              <w:rPr>
                <w:rFonts w:ascii="Tahoma" w:eastAsia="Tahoma" w:hAnsi="Tahoma" w:cs="Tahoma"/>
                <w:color w:val="000000" w:themeColor="text1"/>
                <w:kern w:val="24"/>
                <w:sz w:val="19"/>
                <w:szCs w:val="19"/>
                <w:lang w:eastAsia="es-PE"/>
              </w:rPr>
              <w:t>500 V, 690 V.</w:t>
            </w:r>
          </w:p>
        </w:tc>
        <w:tc>
          <w:tcPr>
            <w:tcW w:w="2685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61DB" w:rsidRDefault="00DE61DB" w:rsidP="00857CBE">
            <w:pPr>
              <w:numPr>
                <w:ilvl w:val="0"/>
                <w:numId w:val="3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sz w:val="20"/>
                <w:szCs w:val="36"/>
                <w:lang w:eastAsia="es-PE"/>
              </w:rPr>
            </w:pPr>
            <w:r>
              <w:rPr>
                <w:rFonts w:ascii="Tahoma" w:eastAsia="Tahoma" w:hAnsi="Tahoma" w:cs="Tahoma"/>
                <w:color w:val="000000" w:themeColor="text1"/>
                <w:kern w:val="24"/>
                <w:sz w:val="20"/>
                <w:szCs w:val="20"/>
                <w:lang w:eastAsia="es-PE"/>
              </w:rPr>
              <w:t>Baja tensión:</w:t>
            </w:r>
          </w:p>
        </w:tc>
        <w:tc>
          <w:tcPr>
            <w:tcW w:w="2865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61DB" w:rsidRDefault="00466871" w:rsidP="00857CB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PE"/>
              </w:rPr>
            </w:pPr>
            <w:r>
              <w:rPr>
                <w:rFonts w:ascii="Tahoma" w:eastAsia="Tahoma" w:hAnsi="Tahoma" w:cs="Tahoma"/>
                <w:color w:val="000000" w:themeColor="text1"/>
                <w:kern w:val="24"/>
                <w:sz w:val="19"/>
                <w:szCs w:val="19"/>
                <w:lang w:eastAsia="es-PE"/>
              </w:rPr>
              <w:t xml:space="preserve">380 V, </w:t>
            </w:r>
            <w:r w:rsidR="00DE61DB">
              <w:rPr>
                <w:rFonts w:ascii="Tahoma" w:eastAsia="Tahoma" w:hAnsi="Tahoma" w:cs="Tahoma"/>
                <w:color w:val="000000" w:themeColor="text1"/>
                <w:kern w:val="24"/>
                <w:sz w:val="19"/>
                <w:szCs w:val="19"/>
                <w:lang w:eastAsia="es-PE"/>
              </w:rPr>
              <w:t>400 V, 4</w:t>
            </w:r>
            <w:r w:rsidR="006043F9">
              <w:rPr>
                <w:rFonts w:ascii="Tahoma" w:eastAsia="Tahoma" w:hAnsi="Tahoma" w:cs="Tahoma"/>
                <w:color w:val="000000" w:themeColor="text1"/>
                <w:kern w:val="24"/>
                <w:sz w:val="19"/>
                <w:szCs w:val="19"/>
                <w:lang w:eastAsia="es-PE"/>
              </w:rPr>
              <w:t>6</w:t>
            </w:r>
            <w:r w:rsidR="00DE61DB">
              <w:rPr>
                <w:rFonts w:ascii="Tahoma" w:eastAsia="Tahoma" w:hAnsi="Tahoma" w:cs="Tahoma"/>
                <w:color w:val="000000" w:themeColor="text1"/>
                <w:kern w:val="24"/>
                <w:sz w:val="19"/>
                <w:szCs w:val="19"/>
                <w:lang w:eastAsia="es-PE"/>
              </w:rPr>
              <w:t>0 V, 480 V, 500 V, 525 V, 575 V, 690 V.</w:t>
            </w:r>
          </w:p>
        </w:tc>
      </w:tr>
      <w:tr w:rsidR="00DE61DB" w:rsidTr="00857CBE">
        <w:trPr>
          <w:trHeight w:val="528"/>
        </w:trPr>
        <w:tc>
          <w:tcPr>
            <w:tcW w:w="2645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61DB" w:rsidRDefault="00DE61DB" w:rsidP="00857CBE">
            <w:pPr>
              <w:numPr>
                <w:ilvl w:val="0"/>
                <w:numId w:val="4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sz w:val="20"/>
                <w:szCs w:val="36"/>
                <w:lang w:eastAsia="es-PE"/>
              </w:rPr>
            </w:pPr>
            <w:r>
              <w:rPr>
                <w:rFonts w:ascii="Tahoma" w:eastAsia="Tahoma" w:hAnsi="Tahoma" w:cs="Tahoma"/>
                <w:color w:val="000000" w:themeColor="text1"/>
                <w:kern w:val="24"/>
                <w:sz w:val="20"/>
                <w:szCs w:val="20"/>
                <w:lang w:eastAsia="es-PE"/>
              </w:rPr>
              <w:t>Media y alta tensión:</w:t>
            </w:r>
          </w:p>
        </w:tc>
        <w:tc>
          <w:tcPr>
            <w:tcW w:w="2905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61DB" w:rsidRDefault="00DE61DB" w:rsidP="00857CB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PE"/>
              </w:rPr>
            </w:pPr>
            <w:r>
              <w:rPr>
                <w:rFonts w:ascii="Tahoma" w:eastAsia="Tahoma" w:hAnsi="Tahoma" w:cs="Tahoma"/>
                <w:color w:val="000000" w:themeColor="text1"/>
                <w:kern w:val="24"/>
                <w:sz w:val="19"/>
                <w:szCs w:val="19"/>
                <w:lang w:eastAsia="es-PE"/>
              </w:rPr>
              <w:t>3.000 V, 3.300 V, 5.000 V, 5.500 V, 6.000 V, 6.300 V, 6.600 V, 10.000 V, 10.500 V, 11.000 V.</w:t>
            </w:r>
          </w:p>
        </w:tc>
        <w:tc>
          <w:tcPr>
            <w:tcW w:w="2685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61DB" w:rsidRDefault="00DE61DB" w:rsidP="00857CBE">
            <w:pPr>
              <w:numPr>
                <w:ilvl w:val="0"/>
                <w:numId w:val="5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sz w:val="20"/>
                <w:szCs w:val="36"/>
                <w:lang w:eastAsia="es-PE"/>
              </w:rPr>
            </w:pPr>
            <w:r>
              <w:rPr>
                <w:rFonts w:ascii="Tahoma" w:eastAsia="Tahoma" w:hAnsi="Tahoma" w:cs="Tahoma"/>
                <w:color w:val="000000" w:themeColor="text1"/>
                <w:kern w:val="24"/>
                <w:sz w:val="20"/>
                <w:szCs w:val="20"/>
                <w:lang w:eastAsia="es-PE"/>
              </w:rPr>
              <w:t>Media y alta tensión:</w:t>
            </w:r>
          </w:p>
        </w:tc>
        <w:tc>
          <w:tcPr>
            <w:tcW w:w="2865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61DB" w:rsidRDefault="002567A5" w:rsidP="00857CB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PE"/>
              </w:rPr>
            </w:pPr>
            <w:r>
              <w:rPr>
                <w:rFonts w:ascii="Tahoma" w:eastAsia="Tahoma" w:hAnsi="Tahoma" w:cs="Tahoma"/>
                <w:color w:val="000000" w:themeColor="text1"/>
                <w:kern w:val="24"/>
                <w:sz w:val="19"/>
                <w:szCs w:val="19"/>
                <w:lang w:eastAsia="es-PE"/>
              </w:rPr>
              <w:t>2</w:t>
            </w:r>
            <w:r w:rsidR="00DE61DB">
              <w:rPr>
                <w:rFonts w:ascii="Tahoma" w:eastAsia="Tahoma" w:hAnsi="Tahoma" w:cs="Tahoma"/>
                <w:color w:val="000000" w:themeColor="text1"/>
                <w:kern w:val="24"/>
                <w:sz w:val="19"/>
                <w:szCs w:val="19"/>
                <w:lang w:eastAsia="es-PE"/>
              </w:rPr>
              <w:t>.</w:t>
            </w:r>
            <w:r>
              <w:rPr>
                <w:rFonts w:ascii="Tahoma" w:eastAsia="Tahoma" w:hAnsi="Tahoma" w:cs="Tahoma"/>
                <w:color w:val="000000" w:themeColor="text1"/>
                <w:kern w:val="24"/>
                <w:sz w:val="19"/>
                <w:szCs w:val="19"/>
                <w:lang w:eastAsia="es-PE"/>
              </w:rPr>
              <w:t>300</w:t>
            </w:r>
            <w:r w:rsidR="00DE61DB">
              <w:rPr>
                <w:rFonts w:ascii="Tahoma" w:eastAsia="Tahoma" w:hAnsi="Tahoma" w:cs="Tahoma"/>
                <w:color w:val="000000" w:themeColor="text1"/>
                <w:kern w:val="24"/>
                <w:sz w:val="19"/>
                <w:szCs w:val="19"/>
                <w:lang w:eastAsia="es-PE"/>
              </w:rPr>
              <w:t xml:space="preserve"> V, </w:t>
            </w:r>
            <w:r>
              <w:rPr>
                <w:rFonts w:ascii="Tahoma" w:eastAsia="Tahoma" w:hAnsi="Tahoma" w:cs="Tahoma"/>
                <w:color w:val="000000" w:themeColor="text1"/>
                <w:kern w:val="24"/>
                <w:sz w:val="19"/>
                <w:szCs w:val="19"/>
                <w:lang w:eastAsia="es-PE"/>
              </w:rPr>
              <w:t>4.16</w:t>
            </w:r>
            <w:r w:rsidR="00DE61DB">
              <w:rPr>
                <w:rFonts w:ascii="Tahoma" w:eastAsia="Tahoma" w:hAnsi="Tahoma" w:cs="Tahoma"/>
                <w:color w:val="000000" w:themeColor="text1"/>
                <w:kern w:val="24"/>
                <w:sz w:val="19"/>
                <w:szCs w:val="19"/>
                <w:lang w:eastAsia="es-PE"/>
              </w:rPr>
              <w:t xml:space="preserve">0 V, </w:t>
            </w:r>
            <w:r>
              <w:rPr>
                <w:rFonts w:ascii="Tahoma" w:eastAsia="Tahoma" w:hAnsi="Tahoma" w:cs="Tahoma"/>
                <w:color w:val="000000" w:themeColor="text1"/>
                <w:kern w:val="24"/>
                <w:sz w:val="19"/>
                <w:szCs w:val="19"/>
                <w:lang w:eastAsia="es-PE"/>
              </w:rPr>
              <w:t>6</w:t>
            </w:r>
            <w:r w:rsidR="00DE61DB">
              <w:rPr>
                <w:rFonts w:ascii="Tahoma" w:eastAsia="Tahoma" w:hAnsi="Tahoma" w:cs="Tahoma"/>
                <w:color w:val="000000" w:themeColor="text1"/>
                <w:kern w:val="24"/>
                <w:sz w:val="19"/>
                <w:szCs w:val="19"/>
                <w:lang w:eastAsia="es-PE"/>
              </w:rPr>
              <w:t>.000 V,</w:t>
            </w:r>
            <w:r>
              <w:rPr>
                <w:rFonts w:ascii="Tahoma" w:eastAsia="Tahoma" w:hAnsi="Tahoma" w:cs="Tahoma"/>
                <w:color w:val="000000" w:themeColor="text1"/>
                <w:kern w:val="24"/>
                <w:sz w:val="19"/>
                <w:szCs w:val="19"/>
                <w:lang w:eastAsia="es-PE"/>
              </w:rPr>
              <w:t xml:space="preserve"> </w:t>
            </w:r>
            <w:r w:rsidR="00DE61DB">
              <w:rPr>
                <w:rFonts w:ascii="Tahoma" w:eastAsia="Tahoma" w:hAnsi="Tahoma" w:cs="Tahoma"/>
                <w:color w:val="000000" w:themeColor="text1"/>
                <w:kern w:val="24"/>
                <w:sz w:val="19"/>
                <w:szCs w:val="19"/>
                <w:lang w:eastAsia="es-PE"/>
              </w:rPr>
              <w:t xml:space="preserve">6.600 V, </w:t>
            </w:r>
            <w:r>
              <w:rPr>
                <w:rFonts w:ascii="Tahoma" w:eastAsia="Tahoma" w:hAnsi="Tahoma" w:cs="Tahoma"/>
                <w:color w:val="000000" w:themeColor="text1"/>
                <w:kern w:val="24"/>
                <w:sz w:val="19"/>
                <w:szCs w:val="19"/>
                <w:lang w:eastAsia="es-PE"/>
              </w:rPr>
              <w:t>7.200</w:t>
            </w:r>
            <w:r w:rsidR="00DE61DB">
              <w:rPr>
                <w:rFonts w:ascii="Tahoma" w:eastAsia="Tahoma" w:hAnsi="Tahoma" w:cs="Tahoma"/>
                <w:color w:val="000000" w:themeColor="text1"/>
                <w:kern w:val="24"/>
                <w:sz w:val="19"/>
                <w:szCs w:val="19"/>
                <w:lang w:eastAsia="es-PE"/>
              </w:rPr>
              <w:t xml:space="preserve"> V, 1</w:t>
            </w:r>
            <w:r>
              <w:rPr>
                <w:rFonts w:ascii="Tahoma" w:eastAsia="Tahoma" w:hAnsi="Tahoma" w:cs="Tahoma"/>
                <w:color w:val="000000" w:themeColor="text1"/>
                <w:kern w:val="24"/>
                <w:sz w:val="19"/>
                <w:szCs w:val="19"/>
                <w:lang w:eastAsia="es-PE"/>
              </w:rPr>
              <w:t>1</w:t>
            </w:r>
            <w:r w:rsidR="00DE61DB">
              <w:rPr>
                <w:rFonts w:ascii="Tahoma" w:eastAsia="Tahoma" w:hAnsi="Tahoma" w:cs="Tahoma"/>
                <w:color w:val="000000" w:themeColor="text1"/>
                <w:kern w:val="24"/>
                <w:sz w:val="19"/>
                <w:szCs w:val="19"/>
                <w:lang w:eastAsia="es-PE"/>
              </w:rPr>
              <w:t>.</w:t>
            </w:r>
            <w:r>
              <w:rPr>
                <w:rFonts w:ascii="Tahoma" w:eastAsia="Tahoma" w:hAnsi="Tahoma" w:cs="Tahoma"/>
                <w:color w:val="000000" w:themeColor="text1"/>
                <w:kern w:val="24"/>
                <w:sz w:val="19"/>
                <w:szCs w:val="19"/>
                <w:lang w:eastAsia="es-PE"/>
              </w:rPr>
              <w:t>0</w:t>
            </w:r>
            <w:r w:rsidR="00DE61DB">
              <w:rPr>
                <w:rFonts w:ascii="Tahoma" w:eastAsia="Tahoma" w:hAnsi="Tahoma" w:cs="Tahoma"/>
                <w:color w:val="000000" w:themeColor="text1"/>
                <w:kern w:val="24"/>
                <w:sz w:val="19"/>
                <w:szCs w:val="19"/>
                <w:lang w:eastAsia="es-PE"/>
              </w:rPr>
              <w:t>00 V, 1</w:t>
            </w:r>
            <w:r>
              <w:rPr>
                <w:rFonts w:ascii="Tahoma" w:eastAsia="Tahoma" w:hAnsi="Tahoma" w:cs="Tahoma"/>
                <w:color w:val="000000" w:themeColor="text1"/>
                <w:kern w:val="24"/>
                <w:sz w:val="19"/>
                <w:szCs w:val="19"/>
                <w:lang w:eastAsia="es-PE"/>
              </w:rPr>
              <w:t>3</w:t>
            </w:r>
            <w:r w:rsidR="00DE61DB">
              <w:rPr>
                <w:rFonts w:ascii="Tahoma" w:eastAsia="Tahoma" w:hAnsi="Tahoma" w:cs="Tahoma"/>
                <w:color w:val="000000" w:themeColor="text1"/>
                <w:kern w:val="24"/>
                <w:sz w:val="19"/>
                <w:szCs w:val="19"/>
                <w:lang w:eastAsia="es-PE"/>
              </w:rPr>
              <w:t>.</w:t>
            </w:r>
            <w:r>
              <w:rPr>
                <w:rFonts w:ascii="Tahoma" w:eastAsia="Tahoma" w:hAnsi="Tahoma" w:cs="Tahoma"/>
                <w:color w:val="000000" w:themeColor="text1"/>
                <w:kern w:val="24"/>
                <w:sz w:val="19"/>
                <w:szCs w:val="19"/>
                <w:lang w:eastAsia="es-PE"/>
              </w:rPr>
              <w:t>2</w:t>
            </w:r>
            <w:r w:rsidR="00DE61DB">
              <w:rPr>
                <w:rFonts w:ascii="Tahoma" w:eastAsia="Tahoma" w:hAnsi="Tahoma" w:cs="Tahoma"/>
                <w:color w:val="000000" w:themeColor="text1"/>
                <w:kern w:val="24"/>
                <w:sz w:val="19"/>
                <w:szCs w:val="19"/>
                <w:lang w:eastAsia="es-PE"/>
              </w:rPr>
              <w:t>00 V</w:t>
            </w:r>
            <w:r>
              <w:rPr>
                <w:rFonts w:ascii="Tahoma" w:eastAsia="Tahoma" w:hAnsi="Tahoma" w:cs="Tahoma"/>
                <w:color w:val="000000" w:themeColor="text1"/>
                <w:kern w:val="24"/>
                <w:sz w:val="19"/>
                <w:szCs w:val="19"/>
                <w:lang w:eastAsia="es-PE"/>
              </w:rPr>
              <w:t>, 13.800</w:t>
            </w:r>
            <w:r w:rsidR="00DE61DB">
              <w:rPr>
                <w:rFonts w:ascii="Tahoma" w:eastAsia="Tahoma" w:hAnsi="Tahoma" w:cs="Tahoma"/>
                <w:color w:val="000000" w:themeColor="text1"/>
                <w:kern w:val="24"/>
                <w:sz w:val="19"/>
                <w:szCs w:val="19"/>
                <w:lang w:eastAsia="es-PE"/>
              </w:rPr>
              <w:t>.</w:t>
            </w:r>
          </w:p>
        </w:tc>
      </w:tr>
      <w:tr w:rsidR="002567A5" w:rsidTr="00EE7055">
        <w:trPr>
          <w:trHeight w:val="528"/>
        </w:trPr>
        <w:tc>
          <w:tcPr>
            <w:tcW w:w="11100" w:type="dxa"/>
            <w:gridSpan w:val="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567A5" w:rsidRPr="002567A5" w:rsidRDefault="002567A5" w:rsidP="002567A5">
            <w:pPr>
              <w:pStyle w:val="Sinespaciado"/>
              <w:rPr>
                <w:i/>
                <w:sz w:val="20"/>
                <w:szCs w:val="20"/>
              </w:rPr>
            </w:pPr>
            <w:r w:rsidRPr="002567A5">
              <w:rPr>
                <w:i/>
                <w:sz w:val="20"/>
                <w:szCs w:val="20"/>
              </w:rPr>
              <w:t>MENZEL también puede implementar todos los voltajes especiales o desviaciones de tolerancia de voltaje a petición del cliente.</w:t>
            </w:r>
          </w:p>
          <w:p w:rsidR="002567A5" w:rsidRDefault="002567A5" w:rsidP="00857CBE">
            <w:pPr>
              <w:spacing w:after="0" w:line="240" w:lineRule="auto"/>
              <w:rPr>
                <w:rFonts w:ascii="Tahoma" w:eastAsia="Tahoma" w:hAnsi="Tahoma" w:cs="Tahoma"/>
                <w:color w:val="000000" w:themeColor="text1"/>
                <w:kern w:val="24"/>
                <w:sz w:val="19"/>
                <w:szCs w:val="19"/>
                <w:lang w:eastAsia="es-PE"/>
              </w:rPr>
            </w:pPr>
          </w:p>
        </w:tc>
      </w:tr>
    </w:tbl>
    <w:p w:rsidR="00DE61DB" w:rsidRPr="00CD0D09" w:rsidRDefault="00161C55" w:rsidP="00CD0D09">
      <w:pPr>
        <w:pStyle w:val="Sinespaciado"/>
        <w:rPr>
          <w:b/>
          <w:bCs/>
        </w:rPr>
      </w:pPr>
      <w:r w:rsidRPr="00CD0D09">
        <w:rPr>
          <w:b/>
        </w:rPr>
        <w:t>Aplicaciones típicas de los motores asíncronos de anillo deslizante de la serie MEB</w:t>
      </w:r>
      <w:r w:rsidR="00466871" w:rsidRPr="00CD0D09">
        <w:rPr>
          <w:b/>
        </w:rPr>
        <w:t>SSL</w:t>
      </w:r>
      <w:r w:rsidRPr="00CD0D09">
        <w:rPr>
          <w:b/>
        </w:rPr>
        <w:t xml:space="preserve"> de MENZEL</w:t>
      </w:r>
      <w:r w:rsidR="00CD0D09" w:rsidRPr="00CD0D09">
        <w:rPr>
          <w:b/>
        </w:rPr>
        <w:t xml:space="preserve"> </w:t>
      </w:r>
      <w:r w:rsidR="00CD0D09" w:rsidRPr="00CD0D09">
        <w:rPr>
          <w:b/>
          <w:bCs/>
        </w:rPr>
        <w:t xml:space="preserve">con enfriamiento de intercambiadores de calor aire – aire IC 611, IC 616 e IC 666: </w:t>
      </w:r>
    </w:p>
    <w:p w:rsidR="00161C55" w:rsidRDefault="00161C55" w:rsidP="00DE61DB">
      <w:pPr>
        <w:pStyle w:val="Sinespaciado"/>
        <w:jc w:val="both"/>
      </w:pPr>
    </w:p>
    <w:p w:rsidR="00161C55" w:rsidRPr="00F012B0" w:rsidRDefault="00161C55" w:rsidP="00DE61DB">
      <w:pPr>
        <w:pStyle w:val="Sinespaciado"/>
        <w:jc w:val="both"/>
        <w:rPr>
          <w:b/>
        </w:rPr>
      </w:pPr>
      <w:r w:rsidRPr="00F012B0">
        <w:rPr>
          <w:b/>
        </w:rPr>
        <w:t>Áreas típicas de uso:</w:t>
      </w:r>
    </w:p>
    <w:p w:rsidR="00161C55" w:rsidRDefault="00161C55" w:rsidP="00161C55">
      <w:pPr>
        <w:pStyle w:val="Sinespaciado"/>
        <w:numPr>
          <w:ilvl w:val="0"/>
          <w:numId w:val="9"/>
        </w:numPr>
        <w:jc w:val="both"/>
      </w:pPr>
      <w:r>
        <w:t>Industria del cemento.</w:t>
      </w:r>
    </w:p>
    <w:p w:rsidR="00466871" w:rsidRDefault="00466871" w:rsidP="00161C55">
      <w:pPr>
        <w:pStyle w:val="Sinespaciado"/>
        <w:numPr>
          <w:ilvl w:val="0"/>
          <w:numId w:val="9"/>
        </w:numPr>
        <w:jc w:val="both"/>
      </w:pPr>
      <w:r>
        <w:t>Industria de alimentos.</w:t>
      </w:r>
    </w:p>
    <w:p w:rsidR="00466871" w:rsidRDefault="00466871" w:rsidP="00161C55">
      <w:pPr>
        <w:pStyle w:val="Sinespaciado"/>
        <w:numPr>
          <w:ilvl w:val="0"/>
          <w:numId w:val="9"/>
        </w:numPr>
        <w:jc w:val="both"/>
      </w:pPr>
      <w:r>
        <w:t>Procesos industriales.</w:t>
      </w:r>
    </w:p>
    <w:p w:rsidR="00466871" w:rsidRDefault="00466871" w:rsidP="00161C55">
      <w:pPr>
        <w:pStyle w:val="Sinespaciado"/>
        <w:numPr>
          <w:ilvl w:val="0"/>
          <w:numId w:val="9"/>
        </w:numPr>
        <w:jc w:val="both"/>
      </w:pPr>
      <w:r>
        <w:t>Plantas de energía.</w:t>
      </w:r>
    </w:p>
    <w:p w:rsidR="00161C55" w:rsidRDefault="00161C55" w:rsidP="00161C55">
      <w:pPr>
        <w:pStyle w:val="Sinespaciado"/>
        <w:numPr>
          <w:ilvl w:val="0"/>
          <w:numId w:val="9"/>
        </w:numPr>
        <w:jc w:val="both"/>
      </w:pPr>
      <w:r>
        <w:t>Industria papelera.</w:t>
      </w:r>
    </w:p>
    <w:p w:rsidR="00161C55" w:rsidRDefault="00466871" w:rsidP="00161C55">
      <w:pPr>
        <w:pStyle w:val="Sinespaciado"/>
        <w:numPr>
          <w:ilvl w:val="0"/>
          <w:numId w:val="9"/>
        </w:numPr>
        <w:jc w:val="both"/>
      </w:pPr>
      <w:r>
        <w:t>Gestión</w:t>
      </w:r>
      <w:r w:rsidR="00161C55">
        <w:t xml:space="preserve"> del Agua.</w:t>
      </w:r>
    </w:p>
    <w:p w:rsidR="00161C55" w:rsidRDefault="00161C55" w:rsidP="00161C55">
      <w:pPr>
        <w:pStyle w:val="Sinespaciado"/>
        <w:numPr>
          <w:ilvl w:val="0"/>
          <w:numId w:val="9"/>
        </w:numPr>
        <w:jc w:val="both"/>
      </w:pPr>
      <w:r>
        <w:t>Industria metalúrgica.</w:t>
      </w:r>
    </w:p>
    <w:p w:rsidR="00161C55" w:rsidRDefault="00466871" w:rsidP="00161C55">
      <w:pPr>
        <w:pStyle w:val="Sinespaciado"/>
        <w:numPr>
          <w:ilvl w:val="0"/>
          <w:numId w:val="9"/>
        </w:numPr>
        <w:jc w:val="both"/>
      </w:pPr>
      <w:r>
        <w:t>Extracción de materias primas y manejo de materiales.</w:t>
      </w:r>
    </w:p>
    <w:p w:rsidR="00161C55" w:rsidRDefault="00161C55" w:rsidP="00161C55">
      <w:pPr>
        <w:pStyle w:val="Sinespaciado"/>
        <w:jc w:val="both"/>
      </w:pPr>
    </w:p>
    <w:p w:rsidR="00161C55" w:rsidRPr="00F012B0" w:rsidRDefault="00161C55" w:rsidP="00161C55">
      <w:pPr>
        <w:pStyle w:val="Sinespaciado"/>
        <w:jc w:val="both"/>
        <w:rPr>
          <w:b/>
        </w:rPr>
      </w:pPr>
      <w:r w:rsidRPr="00F012B0">
        <w:rPr>
          <w:b/>
        </w:rPr>
        <w:t>Aplicaciones típicas:</w:t>
      </w:r>
    </w:p>
    <w:p w:rsidR="00161C55" w:rsidRDefault="00161C55" w:rsidP="00161C55">
      <w:pPr>
        <w:pStyle w:val="Sinespaciado"/>
        <w:numPr>
          <w:ilvl w:val="0"/>
          <w:numId w:val="10"/>
        </w:numPr>
        <w:jc w:val="both"/>
      </w:pPr>
      <w:r>
        <w:t>Unidades de molino.</w:t>
      </w:r>
    </w:p>
    <w:p w:rsidR="00161C55" w:rsidRDefault="00161C55" w:rsidP="00161C55">
      <w:pPr>
        <w:pStyle w:val="Sinespaciado"/>
        <w:numPr>
          <w:ilvl w:val="0"/>
          <w:numId w:val="10"/>
        </w:numPr>
        <w:jc w:val="both"/>
      </w:pPr>
      <w:r>
        <w:t>Trituradoras.</w:t>
      </w:r>
    </w:p>
    <w:p w:rsidR="00161C55" w:rsidRDefault="00161C55" w:rsidP="00161C55">
      <w:pPr>
        <w:pStyle w:val="Sinespaciado"/>
        <w:numPr>
          <w:ilvl w:val="0"/>
          <w:numId w:val="10"/>
        </w:numPr>
        <w:jc w:val="both"/>
      </w:pPr>
      <w:r>
        <w:t>Unidades de refinación.</w:t>
      </w:r>
    </w:p>
    <w:p w:rsidR="00466871" w:rsidRDefault="00466871" w:rsidP="00161C55">
      <w:pPr>
        <w:pStyle w:val="Sinespaciado"/>
        <w:numPr>
          <w:ilvl w:val="0"/>
          <w:numId w:val="10"/>
        </w:numPr>
        <w:jc w:val="both"/>
      </w:pPr>
      <w:r>
        <w:t>Unidades compresoras.</w:t>
      </w:r>
    </w:p>
    <w:p w:rsidR="00466871" w:rsidRDefault="00466871" w:rsidP="00161C55">
      <w:pPr>
        <w:pStyle w:val="Sinespaciado"/>
        <w:numPr>
          <w:ilvl w:val="0"/>
          <w:numId w:val="10"/>
        </w:numPr>
        <w:jc w:val="both"/>
      </w:pPr>
      <w:r>
        <w:t>Accionamiento de compactadoras.</w:t>
      </w:r>
    </w:p>
    <w:p w:rsidR="00161C55" w:rsidRDefault="00466871" w:rsidP="00161C55">
      <w:pPr>
        <w:pStyle w:val="Sinespaciado"/>
        <w:numPr>
          <w:ilvl w:val="0"/>
          <w:numId w:val="10"/>
        </w:numPr>
        <w:jc w:val="both"/>
      </w:pPr>
      <w:r>
        <w:t>Unidades de ventilador.</w:t>
      </w:r>
    </w:p>
    <w:p w:rsidR="00161C55" w:rsidRDefault="00161C55" w:rsidP="00161C55">
      <w:pPr>
        <w:pStyle w:val="Sinespaciado"/>
        <w:numPr>
          <w:ilvl w:val="0"/>
          <w:numId w:val="10"/>
        </w:numPr>
        <w:jc w:val="both"/>
      </w:pPr>
      <w:r>
        <w:t>Transmisión por correa transportadora.</w:t>
      </w:r>
    </w:p>
    <w:p w:rsidR="00161C55" w:rsidRDefault="00161C55" w:rsidP="002567A5">
      <w:pPr>
        <w:pStyle w:val="Sinespaciado"/>
        <w:jc w:val="both"/>
      </w:pPr>
    </w:p>
    <w:p w:rsidR="00466871" w:rsidRDefault="00466871" w:rsidP="006E2518">
      <w:pPr>
        <w:pStyle w:val="Sinespaciado"/>
        <w:rPr>
          <w:b/>
        </w:rPr>
      </w:pPr>
    </w:p>
    <w:p w:rsidR="00466871" w:rsidRDefault="00466871" w:rsidP="006E2518">
      <w:pPr>
        <w:pStyle w:val="Sinespaciado"/>
        <w:rPr>
          <w:b/>
        </w:rPr>
      </w:pPr>
    </w:p>
    <w:p w:rsidR="00466871" w:rsidRDefault="00466871" w:rsidP="006E2518">
      <w:pPr>
        <w:pStyle w:val="Sinespaciado"/>
        <w:rPr>
          <w:b/>
        </w:rPr>
      </w:pPr>
    </w:p>
    <w:p w:rsidR="00466871" w:rsidRDefault="00466871" w:rsidP="006E2518">
      <w:pPr>
        <w:pStyle w:val="Sinespaciado"/>
        <w:rPr>
          <w:b/>
        </w:rPr>
      </w:pPr>
    </w:p>
    <w:p w:rsidR="00140BA0" w:rsidRDefault="002567A5" w:rsidP="00140BA0">
      <w:pPr>
        <w:pStyle w:val="Sinespaciado"/>
        <w:rPr>
          <w:b/>
          <w:bCs/>
        </w:rPr>
      </w:pPr>
      <w:r w:rsidRPr="00E61CB9">
        <w:rPr>
          <w:b/>
        </w:rPr>
        <w:t xml:space="preserve">Principio de enfriamiento </w:t>
      </w:r>
      <w:r>
        <w:rPr>
          <w:b/>
          <w:bCs/>
        </w:rPr>
        <w:t xml:space="preserve">para motores asíncronos de anillos deslizantes </w:t>
      </w:r>
      <w:r w:rsidR="00140BA0">
        <w:rPr>
          <w:b/>
          <w:bCs/>
        </w:rPr>
        <w:t>con enfriamiento de intercambiadores de calor aire – aire</w:t>
      </w:r>
      <w:r w:rsidR="00140BA0" w:rsidRPr="00496A30">
        <w:rPr>
          <w:b/>
          <w:bCs/>
        </w:rPr>
        <w:t xml:space="preserve"> IC </w:t>
      </w:r>
      <w:r w:rsidR="00140BA0">
        <w:rPr>
          <w:b/>
          <w:bCs/>
        </w:rPr>
        <w:t>611, IC 616 e IC 666:</w:t>
      </w:r>
    </w:p>
    <w:p w:rsidR="00140BA0" w:rsidRDefault="00140BA0" w:rsidP="00140BA0">
      <w:pPr>
        <w:pStyle w:val="Sinespaciado"/>
        <w:rPr>
          <w:b/>
          <w:bCs/>
        </w:rPr>
      </w:pPr>
      <w:r>
        <w:rPr>
          <w:b/>
          <w:bCs/>
        </w:rPr>
        <w:t xml:space="preserve"> </w:t>
      </w:r>
    </w:p>
    <w:p w:rsidR="00140BA0" w:rsidRDefault="00140BA0" w:rsidP="00140BA0">
      <w:pPr>
        <w:pStyle w:val="Sinespaciado"/>
        <w:jc w:val="both"/>
      </w:pPr>
      <w:r w:rsidRPr="00140BA0">
        <w:t xml:space="preserve">El calor generado en el motor </w:t>
      </w:r>
      <w:r>
        <w:t>asíncrono de</w:t>
      </w:r>
      <w:r w:rsidRPr="00140BA0">
        <w:t xml:space="preserve"> anillo deslizante (estator y rotor) se alimenta al intercambiador de calor aire-aire mediante un ventilador interno en el circuito interno. El aire ambiente del ventilador exterior en el eje fluye a través del intercambiador de calor aire-aire. El aire interno transfiere el calor generado a los tubos de refrigeración que tienen aire ambiental que fluye a través de ellos.</w:t>
      </w:r>
    </w:p>
    <w:p w:rsidR="00140BA0" w:rsidRDefault="00140BA0" w:rsidP="00140BA0">
      <w:pPr>
        <w:pStyle w:val="Sinespaciado"/>
        <w:jc w:val="both"/>
      </w:pPr>
    </w:p>
    <w:p w:rsidR="00140BA0" w:rsidRDefault="00140BA0" w:rsidP="00140BA0">
      <w:pPr>
        <w:pStyle w:val="Sinespaciado"/>
        <w:jc w:val="both"/>
      </w:pPr>
      <w:r w:rsidRPr="00140BA0">
        <w:t>Las variantes con respecto al control de velocidad, la ventilación forzada o la conexión de tuberías con motores que funcionan de manera particularmente lenta, se pueden entregar como un diseño especial</w:t>
      </w:r>
      <w:r>
        <w:t xml:space="preserve">. </w:t>
      </w:r>
    </w:p>
    <w:p w:rsidR="00140BA0" w:rsidRDefault="00140BA0" w:rsidP="00140BA0">
      <w:pPr>
        <w:pStyle w:val="Sinespaciado"/>
        <w:jc w:val="center"/>
      </w:pPr>
    </w:p>
    <w:p w:rsidR="00140BA0" w:rsidRDefault="00140BA0" w:rsidP="00140BA0">
      <w:pPr>
        <w:pStyle w:val="Sinespaciado"/>
        <w:jc w:val="center"/>
      </w:pPr>
    </w:p>
    <w:p w:rsidR="00140BA0" w:rsidRDefault="00140BA0" w:rsidP="00140BA0">
      <w:pPr>
        <w:pStyle w:val="Sinespaciado"/>
        <w:jc w:val="center"/>
      </w:pPr>
      <w:r>
        <w:rPr>
          <w:noProof/>
        </w:rPr>
        <w:drawing>
          <wp:inline distT="0" distB="0" distL="0" distR="0" wp14:anchorId="5D6EEE4D" wp14:editId="28EAE472">
            <wp:extent cx="3736583" cy="221424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46212" cy="2219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0BA0" w:rsidRDefault="00140BA0" w:rsidP="00140BA0">
      <w:pPr>
        <w:pStyle w:val="Sinespaciado"/>
        <w:jc w:val="center"/>
      </w:pPr>
      <w:r w:rsidRPr="00140BA0">
        <w:t>IC 611: Refrigeración aire-aire con ventilador de onda en el circuito interno y externo</w:t>
      </w:r>
      <w:r>
        <w:t>.</w:t>
      </w:r>
    </w:p>
    <w:p w:rsidR="00140BA0" w:rsidRDefault="00140BA0" w:rsidP="00140BA0">
      <w:pPr>
        <w:pStyle w:val="Sinespaciado"/>
        <w:jc w:val="center"/>
      </w:pPr>
    </w:p>
    <w:p w:rsidR="00140BA0" w:rsidRDefault="00140BA0" w:rsidP="00140BA0">
      <w:pPr>
        <w:pStyle w:val="Sinespaciado"/>
        <w:jc w:val="center"/>
      </w:pPr>
      <w:r>
        <w:rPr>
          <w:noProof/>
        </w:rPr>
        <w:drawing>
          <wp:inline distT="0" distB="0" distL="0" distR="0">
            <wp:extent cx="2685330" cy="2056512"/>
            <wp:effectExtent l="0" t="0" r="1270" b="127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656" cy="2072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BA0" w:rsidRDefault="00140BA0" w:rsidP="00140BA0">
      <w:pPr>
        <w:pStyle w:val="Sinespaciado"/>
        <w:jc w:val="center"/>
      </w:pPr>
      <w:r w:rsidRPr="00140BA0">
        <w:t>IC 616: Refrigeración aire-aire con ventilador de onda en el ventilador de enfriamiento interno y forzado en el circuito externo</w:t>
      </w:r>
      <w:r>
        <w:t>.</w:t>
      </w:r>
    </w:p>
    <w:p w:rsidR="00140BA0" w:rsidRDefault="00140BA0" w:rsidP="00140BA0">
      <w:pPr>
        <w:pStyle w:val="Sinespaciado"/>
        <w:jc w:val="center"/>
      </w:pPr>
    </w:p>
    <w:p w:rsidR="00140BA0" w:rsidRDefault="00140BA0" w:rsidP="00140BA0">
      <w:pPr>
        <w:pStyle w:val="Sinespaciado"/>
        <w:jc w:val="center"/>
      </w:pPr>
      <w:r>
        <w:rPr>
          <w:noProof/>
        </w:rPr>
        <w:drawing>
          <wp:inline distT="0" distB="0" distL="0" distR="0">
            <wp:extent cx="2725223" cy="190500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520" cy="1915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BA0" w:rsidRDefault="00140BA0" w:rsidP="00140BA0">
      <w:pPr>
        <w:pStyle w:val="Sinespaciado"/>
        <w:jc w:val="center"/>
      </w:pPr>
      <w:r w:rsidRPr="00140BA0">
        <w:t>IC 666: Refrigeración aire-aire con ventilador de refrigeración forzada en el circuito interno y externo</w:t>
      </w:r>
      <w:r>
        <w:t>.</w:t>
      </w:r>
    </w:p>
    <w:p w:rsidR="00140BA0" w:rsidRPr="00140BA0" w:rsidRDefault="00140BA0" w:rsidP="00140BA0">
      <w:pPr>
        <w:pStyle w:val="Sinespaciado"/>
        <w:jc w:val="center"/>
      </w:pPr>
    </w:p>
    <w:p w:rsidR="002567A5" w:rsidRDefault="002567A5" w:rsidP="00B570C1">
      <w:pPr>
        <w:pStyle w:val="Sinespaciado"/>
      </w:pPr>
      <w:bookmarkStart w:id="0" w:name="_GoBack"/>
      <w:bookmarkEnd w:id="0"/>
    </w:p>
    <w:sectPr w:rsidR="002567A5" w:rsidSect="000A43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A2BB5"/>
    <w:multiLevelType w:val="hybridMultilevel"/>
    <w:tmpl w:val="D77A1F9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26033"/>
    <w:multiLevelType w:val="hybridMultilevel"/>
    <w:tmpl w:val="A962C7C6"/>
    <w:lvl w:ilvl="0" w:tplc="88640B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B94C2D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0E0447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118B28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A946518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716C30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24C941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06A089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184C8F8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13AD0EBE"/>
    <w:multiLevelType w:val="hybridMultilevel"/>
    <w:tmpl w:val="63CA94C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A68DD"/>
    <w:multiLevelType w:val="hybridMultilevel"/>
    <w:tmpl w:val="8E48E72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407CE"/>
    <w:multiLevelType w:val="hybridMultilevel"/>
    <w:tmpl w:val="5A88A55E"/>
    <w:lvl w:ilvl="0" w:tplc="8E02740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B4D79"/>
    <w:multiLevelType w:val="hybridMultilevel"/>
    <w:tmpl w:val="E52A334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92665"/>
    <w:multiLevelType w:val="hybridMultilevel"/>
    <w:tmpl w:val="4872C7FE"/>
    <w:lvl w:ilvl="0" w:tplc="0FF0E9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166F5C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6EA4F7E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73061E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3FE6D5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49C8CBB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8B098B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0CECCB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7F5677E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7" w15:restartNumberingAfterBreak="0">
    <w:nsid w:val="330F768D"/>
    <w:multiLevelType w:val="hybridMultilevel"/>
    <w:tmpl w:val="99BE7380"/>
    <w:lvl w:ilvl="0" w:tplc="686A0B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378D1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6D4EA5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26C860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54280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425AD74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93ACDC6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47662C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D46E17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8" w15:restartNumberingAfterBreak="0">
    <w:nsid w:val="49AC1B74"/>
    <w:multiLevelType w:val="hybridMultilevel"/>
    <w:tmpl w:val="EF52BA58"/>
    <w:lvl w:ilvl="0" w:tplc="3444A1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D864121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358C3A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EB05F0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A74C896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533A56E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1486D7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35EEAC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2A0564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9" w15:restartNumberingAfterBreak="0">
    <w:nsid w:val="5AAC4C4C"/>
    <w:multiLevelType w:val="hybridMultilevel"/>
    <w:tmpl w:val="9E36F242"/>
    <w:lvl w:ilvl="0" w:tplc="80303298">
      <w:start w:val="1"/>
      <w:numFmt w:val="bullet"/>
      <w:lvlText w:val="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7E9C841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46D05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02244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784DE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2ECF0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E06B5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6644C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6C642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9142B"/>
    <w:multiLevelType w:val="hybridMultilevel"/>
    <w:tmpl w:val="D7C2F0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97261E"/>
    <w:multiLevelType w:val="hybridMultilevel"/>
    <w:tmpl w:val="135E699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5"/>
  </w:num>
  <w:num w:numId="9">
    <w:abstractNumId w:val="4"/>
  </w:num>
  <w:num w:numId="10">
    <w:abstractNumId w:val="10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311"/>
    <w:rsid w:val="0001189A"/>
    <w:rsid w:val="000A4311"/>
    <w:rsid w:val="00140BA0"/>
    <w:rsid w:val="00161C55"/>
    <w:rsid w:val="001A57F2"/>
    <w:rsid w:val="00235CA0"/>
    <w:rsid w:val="002567A5"/>
    <w:rsid w:val="002D78A1"/>
    <w:rsid w:val="003233CD"/>
    <w:rsid w:val="00460BC1"/>
    <w:rsid w:val="00466871"/>
    <w:rsid w:val="0047475D"/>
    <w:rsid w:val="004A3ED2"/>
    <w:rsid w:val="006043F9"/>
    <w:rsid w:val="006E2518"/>
    <w:rsid w:val="008C62AB"/>
    <w:rsid w:val="00AA16E0"/>
    <w:rsid w:val="00AD3929"/>
    <w:rsid w:val="00AE2AC6"/>
    <w:rsid w:val="00B570C1"/>
    <w:rsid w:val="00C91424"/>
    <w:rsid w:val="00CD0D09"/>
    <w:rsid w:val="00D609AE"/>
    <w:rsid w:val="00D9250B"/>
    <w:rsid w:val="00DE61DB"/>
    <w:rsid w:val="00EA21C2"/>
    <w:rsid w:val="00F0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5B38CD"/>
  <w15:chartTrackingRefBased/>
  <w15:docId w15:val="{92C7EB08-EE5D-4C45-9212-01EE52F91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61DB"/>
  </w:style>
  <w:style w:type="paragraph" w:styleId="Ttulo3">
    <w:name w:val="heading 3"/>
    <w:basedOn w:val="Normal"/>
    <w:link w:val="Ttulo3Car"/>
    <w:uiPriority w:val="9"/>
    <w:qFormat/>
    <w:rsid w:val="00AA16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A4311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4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31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56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u-text-large">
    <w:name w:val="u-text-large"/>
    <w:basedOn w:val="Normal"/>
    <w:rsid w:val="00C91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Hipervnculo">
    <w:name w:val="Hyperlink"/>
    <w:basedOn w:val="Fuentedeprrafopredeter"/>
    <w:uiPriority w:val="99"/>
    <w:semiHidden/>
    <w:unhideWhenUsed/>
    <w:rsid w:val="00C9142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A16E0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AA16E0"/>
    <w:rPr>
      <w:rFonts w:ascii="Times New Roman" w:eastAsia="Times New Roman" w:hAnsi="Times New Roman" w:cs="Times New Roman"/>
      <w:b/>
      <w:bCs/>
      <w:sz w:val="27"/>
      <w:szCs w:val="27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0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2127">
          <w:marLeft w:val="0"/>
          <w:marRight w:val="0"/>
          <w:marTop w:val="0"/>
          <w:marBottom w:val="8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3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7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9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4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26764">
                  <w:marLeft w:val="-180"/>
                  <w:marRight w:val="-180"/>
                  <w:marTop w:val="0"/>
                  <w:marBottom w:val="0"/>
                  <w:divBdr>
                    <w:top w:val="none" w:sz="0" w:space="0" w:color="DFDFD8"/>
                    <w:left w:val="none" w:sz="0" w:space="0" w:color="DFDFD8"/>
                    <w:bottom w:val="none" w:sz="0" w:space="0" w:color="auto"/>
                    <w:right w:val="none" w:sz="0" w:space="0" w:color="DFDFD8"/>
                  </w:divBdr>
                </w:div>
              </w:divsChild>
            </w:div>
          </w:divsChild>
        </w:div>
      </w:divsChild>
    </w:div>
    <w:div w:id="1952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790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Atacho</dc:creator>
  <cp:keywords/>
  <dc:description/>
  <cp:lastModifiedBy>Jean Atacho</cp:lastModifiedBy>
  <cp:revision>14</cp:revision>
  <dcterms:created xsi:type="dcterms:W3CDTF">2019-03-11T16:55:00Z</dcterms:created>
  <dcterms:modified xsi:type="dcterms:W3CDTF">2019-03-11T19:07:00Z</dcterms:modified>
</cp:coreProperties>
</file>