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67A" w:rsidRDefault="0070267A" w:rsidP="0070267A">
      <w:pPr>
        <w:pStyle w:val="Sinespaciado"/>
        <w:jc w:val="both"/>
      </w:pPr>
      <w:r w:rsidRPr="0070267A">
        <w:t>Motores de corriente continua para uso industrial en todo el mundo: convenientemente modulares, compactos y confiables para prácticamente cualquier aplicación.</w:t>
      </w:r>
    </w:p>
    <w:p w:rsidR="0070267A" w:rsidRPr="0070267A" w:rsidRDefault="0070267A" w:rsidP="0070267A">
      <w:pPr>
        <w:pStyle w:val="Sinespaciado"/>
        <w:jc w:val="both"/>
      </w:pPr>
    </w:p>
    <w:p w:rsidR="0070267A" w:rsidRDefault="0070267A" w:rsidP="0070267A">
      <w:pPr>
        <w:pStyle w:val="Sinespaciado"/>
        <w:jc w:val="both"/>
      </w:pPr>
      <w:r w:rsidRPr="0070267A">
        <w:t>Los motores de corriente continua M</w:t>
      </w:r>
      <w:r>
        <w:t>ENZEL</w:t>
      </w:r>
      <w:r w:rsidRPr="0070267A">
        <w:t xml:space="preserve"> están construidos con el más alto grado de calidad y de acuerdo con las normas EN 60034 e IEC 34 actuales. El uso de los mejores materiales, el estricto control de producción y el desarrollo técnico continuo son los requisitos básicos para la durabilidad que puede esperar de nuestros motores de corriente continua. </w:t>
      </w:r>
    </w:p>
    <w:p w:rsidR="00454ED5" w:rsidRDefault="00454ED5" w:rsidP="0070267A">
      <w:pPr>
        <w:pStyle w:val="Sinespaciado"/>
        <w:jc w:val="both"/>
      </w:pPr>
    </w:p>
    <w:p w:rsidR="00454ED5" w:rsidRPr="00454ED5" w:rsidRDefault="00454ED5" w:rsidP="00454ED5">
      <w:pPr>
        <w:pStyle w:val="Sinespaciado"/>
        <w:jc w:val="both"/>
        <w:rPr>
          <w:b/>
        </w:rPr>
      </w:pPr>
      <w:r w:rsidRPr="00454ED5">
        <w:rPr>
          <w:b/>
        </w:rPr>
        <w:t>Motores de corriente continua de la serie MEBGVF</w:t>
      </w:r>
      <w:r w:rsidR="004B0C41">
        <w:rPr>
          <w:b/>
        </w:rPr>
        <w:t xml:space="preserve"> de </w:t>
      </w:r>
      <w:r w:rsidR="004B0C41" w:rsidRPr="00454ED5">
        <w:rPr>
          <w:b/>
        </w:rPr>
        <w:t>MENZEL</w:t>
      </w:r>
      <w:r w:rsidR="00CA2073">
        <w:rPr>
          <w:b/>
        </w:rPr>
        <w:t>:</w:t>
      </w:r>
    </w:p>
    <w:p w:rsidR="00454ED5" w:rsidRDefault="00454ED5" w:rsidP="00454ED5">
      <w:pPr>
        <w:pStyle w:val="Sinespaciado"/>
        <w:jc w:val="both"/>
      </w:pPr>
    </w:p>
    <w:p w:rsidR="00454ED5" w:rsidRDefault="00454ED5" w:rsidP="00454ED5">
      <w:pPr>
        <w:pStyle w:val="Sinespaciado"/>
        <w:jc w:val="both"/>
        <w:rPr>
          <w:lang w:eastAsia="es-PE"/>
        </w:rPr>
      </w:pPr>
      <w:r w:rsidRPr="00454ED5">
        <w:rPr>
          <w:lang w:eastAsia="es-PE"/>
        </w:rPr>
        <w:t xml:space="preserve">Los motores de corriente continua de la serie MEBGVF </w:t>
      </w:r>
      <w:r w:rsidR="00CA2073">
        <w:rPr>
          <w:lang w:eastAsia="es-PE"/>
        </w:rPr>
        <w:t xml:space="preserve">de </w:t>
      </w:r>
      <w:r w:rsidR="00CA2073" w:rsidRPr="00454ED5">
        <w:rPr>
          <w:lang w:eastAsia="es-PE"/>
        </w:rPr>
        <w:t>MENZEL</w:t>
      </w:r>
      <w:r w:rsidR="00CA2073" w:rsidRPr="00454ED5">
        <w:rPr>
          <w:lang w:eastAsia="es-PE"/>
        </w:rPr>
        <w:t xml:space="preserve"> </w:t>
      </w:r>
      <w:r w:rsidRPr="00454ED5">
        <w:rPr>
          <w:lang w:eastAsia="es-PE"/>
        </w:rPr>
        <w:t>tienen una estructura modular. </w:t>
      </w:r>
      <w:r>
        <w:rPr>
          <w:lang w:eastAsia="es-PE"/>
        </w:rPr>
        <w:t>Lo que permite</w:t>
      </w:r>
      <w:r w:rsidRPr="00454ED5">
        <w:rPr>
          <w:lang w:eastAsia="es-PE"/>
        </w:rPr>
        <w:t xml:space="preserve"> proporcionar motores básicos de forma rápida y confiable, en una amplia gama de tipos de construcción y con prácticamente cualquier combinación de posiciones de caja de terminales y ventilador. </w:t>
      </w:r>
    </w:p>
    <w:p w:rsidR="00454ED5" w:rsidRDefault="00454ED5" w:rsidP="00454ED5">
      <w:pPr>
        <w:pStyle w:val="Sinespaciado"/>
        <w:jc w:val="both"/>
        <w:rPr>
          <w:lang w:eastAsia="es-PE"/>
        </w:rPr>
      </w:pPr>
    </w:p>
    <w:p w:rsidR="00454ED5" w:rsidRDefault="00454ED5" w:rsidP="00454ED5">
      <w:pPr>
        <w:pStyle w:val="Sinespaciado"/>
        <w:jc w:val="both"/>
        <w:rPr>
          <w:lang w:eastAsia="es-PE"/>
        </w:rPr>
      </w:pPr>
      <w:r w:rsidRPr="00454ED5">
        <w:rPr>
          <w:lang w:eastAsia="es-PE"/>
        </w:rPr>
        <w:t xml:space="preserve">Debido a que cumplen con los estándares IEC, los motores de </w:t>
      </w:r>
      <w:r>
        <w:rPr>
          <w:lang w:eastAsia="es-PE"/>
        </w:rPr>
        <w:t>corriente continua</w:t>
      </w:r>
      <w:r w:rsidRPr="00454ED5">
        <w:rPr>
          <w:lang w:eastAsia="es-PE"/>
        </w:rPr>
        <w:t xml:space="preserve"> de esta serie pueden, en muchos casos, reemplazar los motores producidos por otros fabricantes a corto plazo.</w:t>
      </w:r>
    </w:p>
    <w:p w:rsidR="00454ED5" w:rsidRPr="00454ED5" w:rsidRDefault="00454ED5" w:rsidP="00454ED5">
      <w:pPr>
        <w:pStyle w:val="Sinespaciado"/>
        <w:jc w:val="both"/>
        <w:rPr>
          <w:lang w:eastAsia="es-PE"/>
        </w:rPr>
      </w:pPr>
    </w:p>
    <w:p w:rsidR="00454ED5" w:rsidRPr="00454ED5" w:rsidRDefault="00454ED5" w:rsidP="00454ED5">
      <w:pPr>
        <w:pStyle w:val="Sinespaciado"/>
        <w:jc w:val="both"/>
        <w:rPr>
          <w:lang w:eastAsia="es-PE"/>
        </w:rPr>
      </w:pPr>
      <w:r w:rsidRPr="00454ED5">
        <w:rPr>
          <w:lang w:eastAsia="es-PE"/>
        </w:rPr>
        <w:t xml:space="preserve">Al igual que con todos los motores eléctricos fabricados por MENZEL, </w:t>
      </w:r>
      <w:r>
        <w:rPr>
          <w:lang w:eastAsia="es-PE"/>
        </w:rPr>
        <w:t xml:space="preserve">los </w:t>
      </w:r>
      <w:r w:rsidRPr="00454ED5">
        <w:rPr>
          <w:lang w:eastAsia="es-PE"/>
        </w:rPr>
        <w:t>motores de corriente continua se someten a estrictos controles de calidad y seguridad para garantizar una instalación sin problemas</w:t>
      </w:r>
      <w:r>
        <w:rPr>
          <w:lang w:eastAsia="es-PE"/>
        </w:rPr>
        <w:t>, por lo que t</w:t>
      </w:r>
      <w:r w:rsidRPr="00454ED5">
        <w:rPr>
          <w:lang w:eastAsia="es-PE"/>
        </w:rPr>
        <w:t>odos los motores de corriente continua se prueban exhaustivamente en nuestra área de prueba de motores en el sitio antes de la entrega.</w:t>
      </w:r>
    </w:p>
    <w:p w:rsidR="0070267A" w:rsidRDefault="0070267A" w:rsidP="0070267A">
      <w:pPr>
        <w:pStyle w:val="Sinespaciado"/>
        <w:jc w:val="both"/>
      </w:pPr>
    </w:p>
    <w:p w:rsidR="0070267A" w:rsidRDefault="0070267A" w:rsidP="0070267A">
      <w:pPr>
        <w:pStyle w:val="Sinespaciado"/>
        <w:jc w:val="both"/>
        <w:rPr>
          <w:b/>
          <w:bCs/>
        </w:rPr>
      </w:pPr>
      <w:r w:rsidRPr="00496A30">
        <w:rPr>
          <w:b/>
          <w:bCs/>
        </w:rPr>
        <w:t xml:space="preserve">Versiones estándar de motores </w:t>
      </w:r>
      <w:r>
        <w:rPr>
          <w:b/>
          <w:bCs/>
        </w:rPr>
        <w:t>de corriente continua</w:t>
      </w:r>
      <w:r w:rsidR="00CA2073" w:rsidRPr="00CA2073">
        <w:rPr>
          <w:b/>
        </w:rPr>
        <w:t xml:space="preserve"> </w:t>
      </w:r>
      <w:r w:rsidR="00CA2073" w:rsidRPr="00454ED5">
        <w:rPr>
          <w:b/>
        </w:rPr>
        <w:t>de la serie MEBGVF</w:t>
      </w:r>
      <w:r w:rsidR="00CA2073">
        <w:rPr>
          <w:b/>
        </w:rPr>
        <w:t xml:space="preserve"> de </w:t>
      </w:r>
      <w:r w:rsidR="00CA2073" w:rsidRPr="00454ED5">
        <w:rPr>
          <w:b/>
        </w:rPr>
        <w:t>MENZEL</w:t>
      </w:r>
      <w:r w:rsidR="00A01BE9">
        <w:rPr>
          <w:b/>
          <w:bCs/>
        </w:rPr>
        <w:t>:</w:t>
      </w:r>
    </w:p>
    <w:p w:rsidR="00A01BE9" w:rsidRDefault="00A01BE9" w:rsidP="0070267A">
      <w:pPr>
        <w:pStyle w:val="Sinespaciado"/>
        <w:jc w:val="both"/>
      </w:pPr>
      <w:r>
        <w:rPr>
          <w:noProof/>
        </w:rPr>
        <w:drawing>
          <wp:anchor distT="0" distB="0" distL="114300" distR="114300" simplePos="0" relativeHeight="251658240" behindDoc="1" locked="0" layoutInCell="1" allowOverlap="1" wp14:anchorId="073B66A8">
            <wp:simplePos x="0" y="0"/>
            <wp:positionH relativeFrom="margin">
              <wp:align>left</wp:align>
            </wp:positionH>
            <wp:positionV relativeFrom="paragraph">
              <wp:posOffset>790962</wp:posOffset>
            </wp:positionV>
            <wp:extent cx="1462698" cy="1100096"/>
            <wp:effectExtent l="0" t="0" r="4445"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62698" cy="1100096"/>
                    </a:xfrm>
                    <a:prstGeom prst="rect">
                      <a:avLst/>
                    </a:prstGeom>
                  </pic:spPr>
                </pic:pic>
              </a:graphicData>
            </a:graphic>
            <wp14:sizeRelH relativeFrom="margin">
              <wp14:pctWidth>0</wp14:pctWidth>
            </wp14:sizeRelH>
            <wp14:sizeRelV relativeFrom="margin">
              <wp14:pctHeight>0</wp14:pctHeight>
            </wp14:sizeRelV>
          </wp:anchor>
        </w:drawing>
      </w:r>
    </w:p>
    <w:tbl>
      <w:tblPr>
        <w:tblW w:w="8380" w:type="dxa"/>
        <w:tblInd w:w="2095" w:type="dxa"/>
        <w:tblCellMar>
          <w:left w:w="0" w:type="dxa"/>
          <w:right w:w="0" w:type="dxa"/>
        </w:tblCellMar>
        <w:tblLook w:val="0420" w:firstRow="1" w:lastRow="0" w:firstColumn="0" w:lastColumn="0" w:noHBand="0" w:noVBand="1"/>
      </w:tblPr>
      <w:tblGrid>
        <w:gridCol w:w="3040"/>
        <w:gridCol w:w="5340"/>
      </w:tblGrid>
      <w:tr w:rsidR="0070267A" w:rsidRPr="00496A30" w:rsidTr="004F53DB">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70267A" w:rsidRPr="00496A30" w:rsidRDefault="0070267A" w:rsidP="004F53DB">
            <w:pPr>
              <w:pStyle w:val="Sinespaciado"/>
              <w:jc w:val="both"/>
            </w:pPr>
            <w:r w:rsidRPr="00496A30">
              <w:rPr>
                <w:b/>
                <w:bCs/>
              </w:rPr>
              <w:t>Tipo de construcción:</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70267A" w:rsidRPr="00496A30" w:rsidRDefault="0070267A" w:rsidP="004F53DB">
            <w:pPr>
              <w:pStyle w:val="Sinespaciado"/>
              <w:jc w:val="both"/>
            </w:pPr>
            <w:r w:rsidRPr="00496A30">
              <w:t>I</w:t>
            </w:r>
            <w:r>
              <w:t>M</w:t>
            </w:r>
            <w:r w:rsidRPr="00496A30">
              <w:t xml:space="preserve"> </w:t>
            </w:r>
            <w:r>
              <w:t>B</w:t>
            </w:r>
            <w:r w:rsidRPr="00496A30">
              <w:t xml:space="preserve">3, </w:t>
            </w:r>
            <w:r>
              <w:t xml:space="preserve">IM B5, IM B6, IM B7, IM B8, </w:t>
            </w:r>
            <w:r w:rsidR="00A01BE9">
              <w:t xml:space="preserve">IM B35, </w:t>
            </w:r>
            <w:r w:rsidRPr="00496A30">
              <w:t>IM V1</w:t>
            </w:r>
            <w:r w:rsidR="00A01BE9">
              <w:t>, IM V3, IM V5, IM V6</w:t>
            </w:r>
            <w:r w:rsidRPr="00496A30">
              <w:t>.</w:t>
            </w:r>
          </w:p>
        </w:tc>
      </w:tr>
      <w:tr w:rsidR="0070267A" w:rsidRPr="00496A30" w:rsidTr="004F53DB">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70267A" w:rsidRPr="00496A30" w:rsidRDefault="0070267A" w:rsidP="004F53DB">
            <w:pPr>
              <w:pStyle w:val="Sinespaciado"/>
              <w:jc w:val="both"/>
            </w:pPr>
            <w:r w:rsidRPr="00496A30">
              <w:rPr>
                <w:b/>
                <w:bCs/>
              </w:rPr>
              <w:t>Clases de protección:</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70267A" w:rsidRPr="00496A30" w:rsidRDefault="0070267A" w:rsidP="004F53DB">
            <w:pPr>
              <w:pStyle w:val="Sinespaciado"/>
              <w:jc w:val="both"/>
            </w:pPr>
            <w:r w:rsidRPr="00496A30">
              <w:t>IP</w:t>
            </w:r>
            <w:r w:rsidR="00A01BE9">
              <w:t>23</w:t>
            </w:r>
            <w:r>
              <w:t>, IP</w:t>
            </w:r>
            <w:r w:rsidR="00A01BE9">
              <w:t>55.</w:t>
            </w:r>
          </w:p>
        </w:tc>
      </w:tr>
      <w:tr w:rsidR="0070267A" w:rsidRPr="00496A30" w:rsidTr="004F53DB">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70267A" w:rsidRPr="00496A30" w:rsidRDefault="0070267A" w:rsidP="004F53DB">
            <w:pPr>
              <w:pStyle w:val="Sinespaciado"/>
              <w:jc w:val="both"/>
            </w:pPr>
            <w:r w:rsidRPr="00496A30">
              <w:rPr>
                <w:b/>
                <w:bCs/>
              </w:rPr>
              <w:t>Voltaje:</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70267A" w:rsidRPr="00496A30" w:rsidRDefault="0070267A" w:rsidP="004F53DB">
            <w:pPr>
              <w:pStyle w:val="Sinespaciado"/>
              <w:jc w:val="both"/>
            </w:pPr>
            <w:r w:rsidRPr="00496A30">
              <w:t xml:space="preserve">De </w:t>
            </w:r>
            <w:r w:rsidR="00A01BE9">
              <w:t>160</w:t>
            </w:r>
            <w:r w:rsidRPr="00496A30">
              <w:t xml:space="preserve"> V a </w:t>
            </w:r>
            <w:r w:rsidR="00A01BE9">
              <w:t>1.000</w:t>
            </w:r>
            <w:r w:rsidRPr="00496A30">
              <w:t xml:space="preserve"> V.</w:t>
            </w:r>
          </w:p>
        </w:tc>
      </w:tr>
      <w:tr w:rsidR="0070267A" w:rsidRPr="00496A30" w:rsidTr="004F53DB">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70267A" w:rsidRPr="00496A30" w:rsidRDefault="00A01BE9" w:rsidP="004F53DB">
            <w:pPr>
              <w:pStyle w:val="Sinespaciado"/>
              <w:jc w:val="both"/>
            </w:pPr>
            <w:r>
              <w:rPr>
                <w:b/>
                <w:bCs/>
              </w:rPr>
              <w:t>Dimensiones</w:t>
            </w:r>
            <w:r w:rsidR="0070267A" w:rsidRPr="00496A30">
              <w:rPr>
                <w:b/>
                <w:bCs/>
              </w:rPr>
              <w:t>:</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70267A" w:rsidRPr="00496A30" w:rsidRDefault="00A01BE9" w:rsidP="004F53DB">
            <w:pPr>
              <w:pStyle w:val="Sinespaciado"/>
              <w:jc w:val="both"/>
            </w:pPr>
            <w:r>
              <w:t>Hasta 800 mm.</w:t>
            </w:r>
          </w:p>
        </w:tc>
      </w:tr>
      <w:tr w:rsidR="0070267A" w:rsidRPr="00496A30" w:rsidTr="004F53DB">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70267A" w:rsidRPr="00496A30" w:rsidRDefault="00A01BE9" w:rsidP="004F53DB">
            <w:pPr>
              <w:pStyle w:val="Sinespaciado"/>
              <w:jc w:val="both"/>
            </w:pPr>
            <w:r>
              <w:rPr>
                <w:b/>
                <w:bCs/>
              </w:rPr>
              <w:t>Tipo de enfriamiento</w:t>
            </w:r>
            <w:r w:rsidR="0070267A" w:rsidRPr="00496A30">
              <w:rPr>
                <w:b/>
                <w:bCs/>
              </w:rPr>
              <w:t>:</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70267A" w:rsidRPr="00496A30" w:rsidRDefault="00A01BE9" w:rsidP="004F53DB">
            <w:pPr>
              <w:pStyle w:val="Sinespaciado"/>
              <w:jc w:val="both"/>
            </w:pPr>
            <w:r>
              <w:t>IC 06, IC 17, IC 37, IC 86W, IC 666.</w:t>
            </w:r>
          </w:p>
        </w:tc>
      </w:tr>
      <w:tr w:rsidR="0070267A" w:rsidRPr="00496A30" w:rsidTr="004F53DB">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70267A" w:rsidRPr="00496A30" w:rsidRDefault="00A01BE9" w:rsidP="004F53DB">
            <w:pPr>
              <w:pStyle w:val="Sinespaciado"/>
              <w:jc w:val="both"/>
            </w:pPr>
            <w:r>
              <w:rPr>
                <w:b/>
                <w:bCs/>
              </w:rPr>
              <w:t>Par</w:t>
            </w:r>
            <w:r w:rsidR="0070267A" w:rsidRPr="00496A30">
              <w:rPr>
                <w:b/>
                <w:bCs/>
              </w:rPr>
              <w:t xml:space="preserve"> motor:</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70267A" w:rsidRPr="00496A30" w:rsidRDefault="00A01BE9" w:rsidP="004F53DB">
            <w:pPr>
              <w:pStyle w:val="Sinespaciado"/>
              <w:jc w:val="both"/>
            </w:pPr>
            <w:r>
              <w:t>Hasta 200 kNm</w:t>
            </w:r>
            <w:r w:rsidR="0070267A">
              <w:t>.</w:t>
            </w:r>
          </w:p>
        </w:tc>
      </w:tr>
      <w:tr w:rsidR="0070267A" w:rsidRPr="00496A30" w:rsidTr="004F53DB">
        <w:tc>
          <w:tcPr>
            <w:tcW w:w="3040" w:type="dxa"/>
            <w:tcBorders>
              <w:top w:val="nil"/>
              <w:left w:val="nil"/>
              <w:bottom w:val="nil"/>
              <w:right w:val="nil"/>
            </w:tcBorders>
            <w:shd w:val="clear" w:color="auto" w:fill="auto"/>
            <w:tcMar>
              <w:top w:w="72" w:type="dxa"/>
              <w:left w:w="144" w:type="dxa"/>
              <w:bottom w:w="72" w:type="dxa"/>
              <w:right w:w="144" w:type="dxa"/>
            </w:tcMar>
            <w:hideMark/>
          </w:tcPr>
          <w:p w:rsidR="0070267A" w:rsidRPr="00496A30" w:rsidRDefault="00A01BE9" w:rsidP="004F53DB">
            <w:pPr>
              <w:pStyle w:val="Sinespaciado"/>
              <w:jc w:val="both"/>
            </w:pPr>
            <w:r>
              <w:rPr>
                <w:b/>
                <w:bCs/>
              </w:rPr>
              <w:t>Cantidad de polos</w:t>
            </w:r>
            <w:r w:rsidR="0070267A" w:rsidRPr="00496A30">
              <w:rPr>
                <w:b/>
                <w:bCs/>
              </w:rPr>
              <w:t>:</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70267A" w:rsidRPr="00496A30" w:rsidRDefault="00A01BE9" w:rsidP="004F53DB">
            <w:pPr>
              <w:pStyle w:val="Sinespaciado"/>
              <w:jc w:val="both"/>
            </w:pPr>
            <w:r>
              <w:t>2 polos / 4 polos / 6 polos / 8 polos.</w:t>
            </w:r>
          </w:p>
        </w:tc>
      </w:tr>
      <w:tr w:rsidR="0070267A" w:rsidRPr="00496A30" w:rsidTr="004F53DB">
        <w:tc>
          <w:tcPr>
            <w:tcW w:w="8380" w:type="dxa"/>
            <w:gridSpan w:val="2"/>
            <w:tcBorders>
              <w:top w:val="nil"/>
              <w:left w:val="nil"/>
              <w:bottom w:val="nil"/>
              <w:right w:val="nil"/>
            </w:tcBorders>
            <w:shd w:val="clear" w:color="auto" w:fill="auto"/>
            <w:tcMar>
              <w:top w:w="72" w:type="dxa"/>
              <w:left w:w="144" w:type="dxa"/>
              <w:bottom w:w="72" w:type="dxa"/>
              <w:right w:w="144" w:type="dxa"/>
            </w:tcMar>
          </w:tcPr>
          <w:p w:rsidR="0070267A" w:rsidRPr="002567A5" w:rsidRDefault="0070267A" w:rsidP="004F53DB">
            <w:pPr>
              <w:pStyle w:val="Sinespaciado"/>
              <w:jc w:val="both"/>
              <w:rPr>
                <w:rFonts w:cstheme="minorHAnsi"/>
                <w:i/>
                <w:sz w:val="20"/>
                <w:szCs w:val="20"/>
              </w:rPr>
            </w:pPr>
            <w:r w:rsidRPr="002567A5">
              <w:rPr>
                <w:rFonts w:cstheme="minorHAnsi"/>
                <w:i/>
                <w:sz w:val="20"/>
                <w:szCs w:val="20"/>
                <w:shd w:val="clear" w:color="auto" w:fill="FFFFFF"/>
              </w:rPr>
              <w:t xml:space="preserve">MENZEL también ofrece diseños especiales a medida de motores </w:t>
            </w:r>
            <w:r w:rsidR="00A01BE9">
              <w:rPr>
                <w:rFonts w:cstheme="minorHAnsi"/>
                <w:i/>
                <w:sz w:val="20"/>
                <w:szCs w:val="20"/>
                <w:shd w:val="clear" w:color="auto" w:fill="FFFFFF"/>
              </w:rPr>
              <w:t>de corriente directa</w:t>
            </w:r>
            <w:r w:rsidRPr="002567A5">
              <w:rPr>
                <w:rFonts w:cstheme="minorHAnsi"/>
                <w:i/>
                <w:sz w:val="20"/>
                <w:szCs w:val="20"/>
                <w:shd w:val="clear" w:color="auto" w:fill="FFFFFF"/>
              </w:rPr>
              <w:t>.</w:t>
            </w:r>
          </w:p>
        </w:tc>
      </w:tr>
    </w:tbl>
    <w:p w:rsidR="0070267A" w:rsidRDefault="0070267A" w:rsidP="0070267A">
      <w:pPr>
        <w:pStyle w:val="Sinespaciado"/>
        <w:rPr>
          <w:b/>
          <w:bCs/>
        </w:rPr>
      </w:pPr>
    </w:p>
    <w:p w:rsidR="0070267A" w:rsidRDefault="0070267A" w:rsidP="0070267A">
      <w:pPr>
        <w:pStyle w:val="Sinespaciado"/>
        <w:rPr>
          <w:b/>
          <w:bCs/>
        </w:rPr>
      </w:pPr>
      <w:r w:rsidRPr="00496A30">
        <w:rPr>
          <w:b/>
          <w:bCs/>
        </w:rPr>
        <w:t xml:space="preserve">Ventajas de los motores </w:t>
      </w:r>
      <w:r w:rsidR="00AD5678">
        <w:rPr>
          <w:b/>
          <w:bCs/>
        </w:rPr>
        <w:t>de corriente continua</w:t>
      </w:r>
      <w:r w:rsidR="00CA2073">
        <w:rPr>
          <w:b/>
          <w:bCs/>
        </w:rPr>
        <w:t xml:space="preserve"> </w:t>
      </w:r>
      <w:r w:rsidR="00CA2073" w:rsidRPr="00454ED5">
        <w:rPr>
          <w:b/>
        </w:rPr>
        <w:t>de la serie MEBGVF</w:t>
      </w:r>
      <w:r w:rsidR="00CA2073">
        <w:rPr>
          <w:b/>
        </w:rPr>
        <w:t xml:space="preserve"> de </w:t>
      </w:r>
      <w:r w:rsidR="00CA2073" w:rsidRPr="00454ED5">
        <w:rPr>
          <w:b/>
        </w:rPr>
        <w:t>MENZEL</w:t>
      </w:r>
      <w:r w:rsidRPr="00496A30">
        <w:rPr>
          <w:b/>
          <w:bCs/>
        </w:rPr>
        <w:t xml:space="preserve">. </w:t>
      </w:r>
    </w:p>
    <w:p w:rsidR="0070267A" w:rsidRDefault="0070267A" w:rsidP="0070267A">
      <w:pPr>
        <w:pStyle w:val="Sinespaciado"/>
        <w:rPr>
          <w:b/>
          <w:bCs/>
        </w:rPr>
      </w:pPr>
    </w:p>
    <w:tbl>
      <w:tblPr>
        <w:tblW w:w="10760" w:type="dxa"/>
        <w:tblCellMar>
          <w:left w:w="0" w:type="dxa"/>
          <w:right w:w="0" w:type="dxa"/>
        </w:tblCellMar>
        <w:tblLook w:val="0420" w:firstRow="1" w:lastRow="0" w:firstColumn="0" w:lastColumn="0" w:noHBand="0" w:noVBand="1"/>
      </w:tblPr>
      <w:tblGrid>
        <w:gridCol w:w="2693"/>
        <w:gridCol w:w="2690"/>
        <w:gridCol w:w="2689"/>
        <w:gridCol w:w="2688"/>
      </w:tblGrid>
      <w:tr w:rsidR="00AD5678" w:rsidRPr="00496A30" w:rsidTr="004F53DB">
        <w:trPr>
          <w:trHeight w:val="971"/>
        </w:trPr>
        <w:tc>
          <w:tcPr>
            <w:tcW w:w="2700" w:type="dxa"/>
            <w:tcBorders>
              <w:top w:val="nil"/>
              <w:left w:val="nil"/>
              <w:bottom w:val="nil"/>
              <w:right w:val="nil"/>
            </w:tcBorders>
            <w:shd w:val="clear" w:color="auto" w:fill="auto"/>
            <w:tcMar>
              <w:top w:w="72" w:type="dxa"/>
              <w:left w:w="144" w:type="dxa"/>
              <w:bottom w:w="72" w:type="dxa"/>
              <w:right w:w="144" w:type="dxa"/>
            </w:tcMar>
            <w:hideMark/>
          </w:tcPr>
          <w:p w:rsidR="0070267A" w:rsidRPr="00496A30" w:rsidRDefault="00AD5678" w:rsidP="004F53DB">
            <w:pPr>
              <w:numPr>
                <w:ilvl w:val="0"/>
                <w:numId w:val="1"/>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Alta seguridad operacional.</w:t>
            </w:r>
          </w:p>
        </w:tc>
        <w:tc>
          <w:tcPr>
            <w:tcW w:w="2700" w:type="dxa"/>
            <w:tcBorders>
              <w:top w:val="nil"/>
              <w:left w:val="nil"/>
              <w:bottom w:val="nil"/>
              <w:right w:val="nil"/>
            </w:tcBorders>
            <w:shd w:val="clear" w:color="auto" w:fill="auto"/>
            <w:tcMar>
              <w:top w:w="72" w:type="dxa"/>
              <w:left w:w="144" w:type="dxa"/>
              <w:bottom w:w="72" w:type="dxa"/>
              <w:right w:w="144" w:type="dxa"/>
            </w:tcMar>
            <w:hideMark/>
          </w:tcPr>
          <w:p w:rsidR="0070267A" w:rsidRPr="00496A30" w:rsidRDefault="00AD5678" w:rsidP="004F53DB">
            <w:pPr>
              <w:numPr>
                <w:ilvl w:val="0"/>
                <w:numId w:val="1"/>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Larga vida útil del cepillo.</w:t>
            </w:r>
          </w:p>
        </w:tc>
        <w:tc>
          <w:tcPr>
            <w:tcW w:w="2700" w:type="dxa"/>
            <w:tcBorders>
              <w:top w:val="nil"/>
              <w:left w:val="nil"/>
              <w:bottom w:val="nil"/>
              <w:right w:val="nil"/>
            </w:tcBorders>
            <w:shd w:val="clear" w:color="auto" w:fill="auto"/>
            <w:tcMar>
              <w:top w:w="72" w:type="dxa"/>
              <w:left w:w="144" w:type="dxa"/>
              <w:bottom w:w="72" w:type="dxa"/>
              <w:right w:w="144" w:type="dxa"/>
            </w:tcMar>
            <w:hideMark/>
          </w:tcPr>
          <w:p w:rsidR="0070267A" w:rsidRPr="00AD5678" w:rsidRDefault="00AD5678" w:rsidP="00AD5678">
            <w:pPr>
              <w:pStyle w:val="Prrafodelista"/>
              <w:numPr>
                <w:ilvl w:val="0"/>
                <w:numId w:val="3"/>
              </w:numPr>
              <w:spacing w:after="0" w:line="240" w:lineRule="auto"/>
              <w:rPr>
                <w:rFonts w:ascii="Arial" w:eastAsia="Times New Roman" w:hAnsi="Arial" w:cs="Arial"/>
                <w:sz w:val="20"/>
                <w:szCs w:val="36"/>
                <w:lang w:eastAsia="es-PE"/>
              </w:rPr>
            </w:pPr>
            <w:r w:rsidRPr="00AD5678">
              <w:rPr>
                <w:rFonts w:ascii="Tahoma" w:eastAsia="Tahoma" w:hAnsi="Tahoma" w:cs="Tahoma"/>
                <w:color w:val="000000" w:themeColor="text1"/>
                <w:kern w:val="24"/>
                <w:sz w:val="20"/>
                <w:szCs w:val="20"/>
                <w:lang w:eastAsia="es-PE"/>
              </w:rPr>
              <w:t>Utilización óptima de la máquina y por tanto pequeñas dimensiones.</w:t>
            </w:r>
          </w:p>
        </w:tc>
        <w:tc>
          <w:tcPr>
            <w:tcW w:w="2700" w:type="dxa"/>
            <w:tcBorders>
              <w:top w:val="nil"/>
              <w:left w:val="nil"/>
              <w:bottom w:val="nil"/>
              <w:right w:val="nil"/>
            </w:tcBorders>
            <w:shd w:val="clear" w:color="auto" w:fill="auto"/>
            <w:tcMar>
              <w:top w:w="72" w:type="dxa"/>
              <w:left w:w="144" w:type="dxa"/>
              <w:bottom w:w="72" w:type="dxa"/>
              <w:right w:w="144" w:type="dxa"/>
            </w:tcMar>
            <w:hideMark/>
          </w:tcPr>
          <w:p w:rsidR="0070267A" w:rsidRPr="00AD5678" w:rsidRDefault="00AD5678" w:rsidP="00AD5678">
            <w:pPr>
              <w:pStyle w:val="Prrafodelista"/>
              <w:numPr>
                <w:ilvl w:val="0"/>
                <w:numId w:val="3"/>
              </w:numPr>
              <w:spacing w:after="0" w:line="240" w:lineRule="auto"/>
              <w:rPr>
                <w:rFonts w:ascii="Arial" w:eastAsia="Times New Roman" w:hAnsi="Arial" w:cs="Arial"/>
                <w:sz w:val="20"/>
                <w:szCs w:val="36"/>
                <w:lang w:eastAsia="es-PE"/>
              </w:rPr>
            </w:pPr>
            <w:r w:rsidRPr="00AD5678">
              <w:rPr>
                <w:rFonts w:ascii="Tahoma" w:eastAsia="Tahoma" w:hAnsi="Tahoma" w:cs="Tahoma"/>
                <w:color w:val="000000" w:themeColor="text1"/>
                <w:kern w:val="24"/>
                <w:sz w:val="20"/>
                <w:szCs w:val="20"/>
                <w:lang w:eastAsia="es-PE"/>
              </w:rPr>
              <w:t>Construcción útil.</w:t>
            </w:r>
          </w:p>
        </w:tc>
      </w:tr>
      <w:tr w:rsidR="00AD5678" w:rsidRPr="00496A30" w:rsidTr="004F53DB">
        <w:trPr>
          <w:trHeight w:val="739"/>
        </w:trPr>
        <w:tc>
          <w:tcPr>
            <w:tcW w:w="2700" w:type="dxa"/>
            <w:tcBorders>
              <w:top w:val="nil"/>
              <w:left w:val="nil"/>
              <w:bottom w:val="nil"/>
              <w:right w:val="nil"/>
            </w:tcBorders>
            <w:shd w:val="clear" w:color="auto" w:fill="auto"/>
            <w:tcMar>
              <w:top w:w="72" w:type="dxa"/>
              <w:left w:w="144" w:type="dxa"/>
              <w:bottom w:w="72" w:type="dxa"/>
              <w:right w:w="144" w:type="dxa"/>
            </w:tcMar>
            <w:hideMark/>
          </w:tcPr>
          <w:p w:rsidR="0070267A" w:rsidRPr="00496A30" w:rsidRDefault="00AD5678" w:rsidP="004F53DB">
            <w:pPr>
              <w:numPr>
                <w:ilvl w:val="0"/>
                <w:numId w:val="1"/>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Bajos costos del sistema debido a un alto grado de eficiencia.</w:t>
            </w:r>
          </w:p>
        </w:tc>
        <w:tc>
          <w:tcPr>
            <w:tcW w:w="2700" w:type="dxa"/>
            <w:tcBorders>
              <w:top w:val="nil"/>
              <w:left w:val="nil"/>
              <w:bottom w:val="nil"/>
              <w:right w:val="nil"/>
            </w:tcBorders>
            <w:shd w:val="clear" w:color="auto" w:fill="auto"/>
            <w:tcMar>
              <w:top w:w="72" w:type="dxa"/>
              <w:left w:w="144" w:type="dxa"/>
              <w:bottom w:w="72" w:type="dxa"/>
              <w:right w:w="144" w:type="dxa"/>
            </w:tcMar>
            <w:hideMark/>
          </w:tcPr>
          <w:p w:rsidR="0070267A" w:rsidRPr="00496A30" w:rsidRDefault="00AD5678" w:rsidP="004F53DB">
            <w:pPr>
              <w:numPr>
                <w:ilvl w:val="0"/>
                <w:numId w:val="1"/>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Alta capacidad de carga dinámica debido al circuito magnético totalmente laminado.</w:t>
            </w:r>
          </w:p>
        </w:tc>
        <w:tc>
          <w:tcPr>
            <w:tcW w:w="2700" w:type="dxa"/>
            <w:tcBorders>
              <w:top w:val="nil"/>
              <w:left w:val="nil"/>
              <w:bottom w:val="nil"/>
              <w:right w:val="nil"/>
            </w:tcBorders>
            <w:shd w:val="clear" w:color="auto" w:fill="auto"/>
            <w:tcMar>
              <w:top w:w="72" w:type="dxa"/>
              <w:left w:w="144" w:type="dxa"/>
              <w:bottom w:w="72" w:type="dxa"/>
              <w:right w:w="144" w:type="dxa"/>
            </w:tcMar>
            <w:hideMark/>
          </w:tcPr>
          <w:p w:rsidR="0070267A" w:rsidRPr="00AD5678" w:rsidRDefault="00AD5678" w:rsidP="00AD5678">
            <w:pPr>
              <w:pStyle w:val="Prrafodelista"/>
              <w:numPr>
                <w:ilvl w:val="0"/>
                <w:numId w:val="2"/>
              </w:numPr>
              <w:spacing w:after="0" w:line="240" w:lineRule="auto"/>
              <w:rPr>
                <w:rFonts w:ascii="Arial" w:eastAsia="Times New Roman" w:hAnsi="Arial" w:cs="Arial"/>
                <w:sz w:val="20"/>
                <w:szCs w:val="36"/>
                <w:lang w:eastAsia="es-PE"/>
              </w:rPr>
            </w:pPr>
            <w:r w:rsidRPr="00AD5678">
              <w:rPr>
                <w:rFonts w:ascii="Arial" w:eastAsia="Times New Roman" w:hAnsi="Arial" w:cs="Arial"/>
                <w:sz w:val="20"/>
                <w:szCs w:val="36"/>
                <w:lang w:eastAsia="es-PE"/>
              </w:rPr>
              <w:t>Sin tiempo de inversión debido a la baja inercia y la velocidad de cambio de corriente alta y confiable.</w:t>
            </w:r>
          </w:p>
        </w:tc>
        <w:tc>
          <w:tcPr>
            <w:tcW w:w="2700" w:type="dxa"/>
            <w:tcBorders>
              <w:top w:val="nil"/>
              <w:left w:val="nil"/>
              <w:bottom w:val="nil"/>
              <w:right w:val="nil"/>
            </w:tcBorders>
            <w:shd w:val="clear" w:color="auto" w:fill="auto"/>
            <w:tcMar>
              <w:top w:w="72" w:type="dxa"/>
              <w:left w:w="144" w:type="dxa"/>
              <w:bottom w:w="72" w:type="dxa"/>
              <w:right w:w="144" w:type="dxa"/>
            </w:tcMar>
            <w:hideMark/>
          </w:tcPr>
          <w:p w:rsidR="0070267A" w:rsidRPr="00AD5678" w:rsidRDefault="00AD5678" w:rsidP="00AD5678">
            <w:pPr>
              <w:pStyle w:val="Prrafodelista"/>
              <w:numPr>
                <w:ilvl w:val="0"/>
                <w:numId w:val="2"/>
              </w:numPr>
              <w:spacing w:after="0" w:line="240" w:lineRule="auto"/>
              <w:rPr>
                <w:rFonts w:ascii="Arial" w:eastAsia="Times New Roman" w:hAnsi="Arial" w:cs="Arial"/>
                <w:sz w:val="20"/>
                <w:szCs w:val="36"/>
                <w:lang w:eastAsia="es-PE"/>
              </w:rPr>
            </w:pPr>
            <w:r w:rsidRPr="00AD5678">
              <w:rPr>
                <w:rFonts w:ascii="Arial" w:eastAsia="Times New Roman" w:hAnsi="Arial" w:cs="Arial"/>
                <w:sz w:val="20"/>
                <w:szCs w:val="36"/>
                <w:lang w:eastAsia="es-PE"/>
              </w:rPr>
              <w:t>Rango de control de alta velocidad.</w:t>
            </w:r>
          </w:p>
        </w:tc>
      </w:tr>
      <w:tr w:rsidR="00AD5678" w:rsidRPr="00496A30" w:rsidTr="004F53DB">
        <w:trPr>
          <w:trHeight w:val="739"/>
        </w:trPr>
        <w:tc>
          <w:tcPr>
            <w:tcW w:w="2700" w:type="dxa"/>
            <w:tcBorders>
              <w:top w:val="nil"/>
              <w:left w:val="nil"/>
              <w:bottom w:val="nil"/>
              <w:right w:val="nil"/>
            </w:tcBorders>
            <w:shd w:val="clear" w:color="auto" w:fill="auto"/>
            <w:tcMar>
              <w:top w:w="72" w:type="dxa"/>
              <w:left w:w="144" w:type="dxa"/>
              <w:bottom w:w="72" w:type="dxa"/>
              <w:right w:w="144" w:type="dxa"/>
            </w:tcMar>
          </w:tcPr>
          <w:p w:rsidR="00AD5678" w:rsidRDefault="00AD5678" w:rsidP="004F53DB">
            <w:pPr>
              <w:numPr>
                <w:ilvl w:val="0"/>
                <w:numId w:val="1"/>
              </w:numPr>
              <w:spacing w:after="0" w:line="240" w:lineRule="auto"/>
              <w:ind w:left="994"/>
              <w:contextualSpacing/>
              <w:rPr>
                <w:rFonts w:ascii="Tahoma" w:eastAsia="Tahoma" w:hAnsi="Tahoma" w:cs="Tahoma"/>
                <w:color w:val="000000" w:themeColor="text1"/>
                <w:kern w:val="24"/>
                <w:sz w:val="20"/>
                <w:szCs w:val="20"/>
                <w:lang w:eastAsia="es-PE"/>
              </w:rPr>
            </w:pPr>
            <w:r>
              <w:rPr>
                <w:rFonts w:ascii="Tahoma" w:eastAsia="Tahoma" w:hAnsi="Tahoma" w:cs="Tahoma"/>
                <w:color w:val="000000" w:themeColor="text1"/>
                <w:kern w:val="24"/>
                <w:sz w:val="20"/>
                <w:szCs w:val="20"/>
                <w:lang w:eastAsia="es-PE"/>
              </w:rPr>
              <w:t>Bajo nivel de ruido.</w:t>
            </w:r>
          </w:p>
        </w:tc>
        <w:tc>
          <w:tcPr>
            <w:tcW w:w="2700" w:type="dxa"/>
            <w:tcBorders>
              <w:top w:val="nil"/>
              <w:left w:val="nil"/>
              <w:bottom w:val="nil"/>
              <w:right w:val="nil"/>
            </w:tcBorders>
            <w:shd w:val="clear" w:color="auto" w:fill="auto"/>
            <w:tcMar>
              <w:top w:w="72" w:type="dxa"/>
              <w:left w:w="144" w:type="dxa"/>
              <w:bottom w:w="72" w:type="dxa"/>
              <w:right w:w="144" w:type="dxa"/>
            </w:tcMar>
          </w:tcPr>
          <w:p w:rsidR="00AD5678" w:rsidRDefault="00AD5678" w:rsidP="00AD5678">
            <w:pPr>
              <w:spacing w:after="0" w:line="240" w:lineRule="auto"/>
              <w:ind w:left="634"/>
              <w:contextualSpacing/>
              <w:rPr>
                <w:rFonts w:ascii="Tahoma" w:eastAsia="Tahoma" w:hAnsi="Tahoma" w:cs="Tahoma"/>
                <w:color w:val="000000" w:themeColor="text1"/>
                <w:kern w:val="24"/>
                <w:sz w:val="20"/>
                <w:szCs w:val="20"/>
                <w:lang w:eastAsia="es-PE"/>
              </w:rPr>
            </w:pPr>
          </w:p>
        </w:tc>
        <w:tc>
          <w:tcPr>
            <w:tcW w:w="2700" w:type="dxa"/>
            <w:tcBorders>
              <w:top w:val="nil"/>
              <w:left w:val="nil"/>
              <w:bottom w:val="nil"/>
              <w:right w:val="nil"/>
            </w:tcBorders>
            <w:shd w:val="clear" w:color="auto" w:fill="auto"/>
            <w:tcMar>
              <w:top w:w="72" w:type="dxa"/>
              <w:left w:w="144" w:type="dxa"/>
              <w:bottom w:w="72" w:type="dxa"/>
              <w:right w:w="144" w:type="dxa"/>
            </w:tcMar>
          </w:tcPr>
          <w:p w:rsidR="00AD5678" w:rsidRDefault="00AD5678" w:rsidP="004F53DB">
            <w:pPr>
              <w:spacing w:after="0" w:line="240" w:lineRule="auto"/>
              <w:contextualSpacing/>
              <w:rPr>
                <w:rFonts w:ascii="Arial" w:eastAsia="Times New Roman" w:hAnsi="Arial" w:cs="Arial"/>
                <w:sz w:val="20"/>
                <w:szCs w:val="36"/>
                <w:lang w:eastAsia="es-PE"/>
              </w:rPr>
            </w:pPr>
          </w:p>
        </w:tc>
        <w:tc>
          <w:tcPr>
            <w:tcW w:w="2700" w:type="dxa"/>
            <w:tcBorders>
              <w:top w:val="nil"/>
              <w:left w:val="nil"/>
              <w:bottom w:val="nil"/>
              <w:right w:val="nil"/>
            </w:tcBorders>
            <w:shd w:val="clear" w:color="auto" w:fill="auto"/>
            <w:tcMar>
              <w:top w:w="72" w:type="dxa"/>
              <w:left w:w="144" w:type="dxa"/>
              <w:bottom w:w="72" w:type="dxa"/>
              <w:right w:w="144" w:type="dxa"/>
            </w:tcMar>
          </w:tcPr>
          <w:p w:rsidR="00AD5678" w:rsidRDefault="00AD5678" w:rsidP="004F53DB">
            <w:pPr>
              <w:spacing w:after="0" w:line="240" w:lineRule="auto"/>
              <w:contextualSpacing/>
              <w:rPr>
                <w:rFonts w:ascii="Arial" w:eastAsia="Times New Roman" w:hAnsi="Arial" w:cs="Arial"/>
                <w:sz w:val="20"/>
                <w:szCs w:val="36"/>
                <w:lang w:eastAsia="es-PE"/>
              </w:rPr>
            </w:pPr>
          </w:p>
        </w:tc>
      </w:tr>
    </w:tbl>
    <w:p w:rsidR="0070267A" w:rsidRDefault="0070267A" w:rsidP="0070267A">
      <w:pPr>
        <w:pStyle w:val="Sinespaciado"/>
        <w:rPr>
          <w:b/>
          <w:bCs/>
        </w:rPr>
      </w:pPr>
    </w:p>
    <w:p w:rsidR="0070267A" w:rsidRDefault="0070267A" w:rsidP="0070267A">
      <w:pPr>
        <w:pStyle w:val="Sinespaciado"/>
        <w:jc w:val="both"/>
        <w:rPr>
          <w:i/>
          <w:color w:val="FF0000"/>
        </w:rPr>
      </w:pPr>
      <w:r w:rsidRPr="006E0BE4">
        <w:rPr>
          <w:i/>
          <w:color w:val="FF0000"/>
        </w:rPr>
        <w:t>Galería de fotos que debe ir en la parte lateral derecha como el caso de los motores asíncronos de jaula de ardilla con el tipo de enfriamiento de circuito abierto de ventilación IC 01 e IC 06</w:t>
      </w:r>
    </w:p>
    <w:p w:rsidR="00C8323F" w:rsidRDefault="00C8323F" w:rsidP="0070267A">
      <w:pPr>
        <w:pStyle w:val="Sinespaciado"/>
        <w:jc w:val="both"/>
        <w:rPr>
          <w:i/>
          <w:color w:val="FF0000"/>
        </w:rPr>
      </w:pPr>
    </w:p>
    <w:p w:rsidR="0070267A" w:rsidRDefault="00C8323F" w:rsidP="0070267A">
      <w:r>
        <w:rPr>
          <w:noProof/>
        </w:rPr>
        <w:drawing>
          <wp:inline distT="0" distB="0" distL="0" distR="0" wp14:anchorId="42F1756D" wp14:editId="2EE31E5E">
            <wp:extent cx="6296025" cy="9715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96025" cy="971550"/>
                    </a:xfrm>
                    <a:prstGeom prst="rect">
                      <a:avLst/>
                    </a:prstGeom>
                  </pic:spPr>
                </pic:pic>
              </a:graphicData>
            </a:graphic>
          </wp:inline>
        </w:drawing>
      </w:r>
    </w:p>
    <w:p w:rsidR="0070267A" w:rsidRDefault="00AD5678" w:rsidP="0070267A">
      <w:pPr>
        <w:pStyle w:val="Sinespaciado"/>
        <w:rPr>
          <w:b/>
          <w:bCs/>
        </w:rPr>
      </w:pPr>
      <w:r>
        <w:rPr>
          <w:b/>
          <w:bCs/>
        </w:rPr>
        <w:t>Áreas de aplicación de los motores de corriente continua</w:t>
      </w:r>
      <w:r w:rsidR="00CA2073">
        <w:rPr>
          <w:b/>
          <w:bCs/>
        </w:rPr>
        <w:t xml:space="preserve"> </w:t>
      </w:r>
      <w:r w:rsidR="00CA2073" w:rsidRPr="00454ED5">
        <w:rPr>
          <w:b/>
        </w:rPr>
        <w:t>de la serie MEBGVF</w:t>
      </w:r>
      <w:r w:rsidR="00CA2073">
        <w:rPr>
          <w:b/>
        </w:rPr>
        <w:t xml:space="preserve"> de </w:t>
      </w:r>
      <w:r w:rsidR="00CA2073" w:rsidRPr="00454ED5">
        <w:rPr>
          <w:b/>
        </w:rPr>
        <w:t>MENZEL</w:t>
      </w:r>
      <w:bookmarkStart w:id="0" w:name="_GoBack"/>
      <w:bookmarkEnd w:id="0"/>
      <w:r>
        <w:rPr>
          <w:b/>
          <w:bCs/>
        </w:rPr>
        <w:t>.</w:t>
      </w:r>
    </w:p>
    <w:p w:rsidR="00AD5678" w:rsidRDefault="00AD5678" w:rsidP="0070267A">
      <w:pPr>
        <w:pStyle w:val="Sinespaciado"/>
        <w:rPr>
          <w:b/>
          <w:bCs/>
        </w:rPr>
      </w:pPr>
    </w:p>
    <w:p w:rsidR="00AD5678" w:rsidRDefault="00AD5678" w:rsidP="0070267A">
      <w:pPr>
        <w:pStyle w:val="Sinespaciado"/>
        <w:rPr>
          <w:b/>
          <w:bCs/>
        </w:rPr>
      </w:pPr>
      <w:r>
        <w:rPr>
          <w:b/>
          <w:bCs/>
        </w:rPr>
        <w:t>Áreas típicas de uso:</w:t>
      </w:r>
    </w:p>
    <w:p w:rsidR="00AD5678" w:rsidRPr="00454ED5" w:rsidRDefault="00454ED5" w:rsidP="00AD5678">
      <w:pPr>
        <w:pStyle w:val="Sinespaciado"/>
        <w:numPr>
          <w:ilvl w:val="0"/>
          <w:numId w:val="4"/>
        </w:numPr>
        <w:rPr>
          <w:bCs/>
        </w:rPr>
      </w:pPr>
      <w:r w:rsidRPr="00454ED5">
        <w:rPr>
          <w:bCs/>
        </w:rPr>
        <w:t>Industria papelera.</w:t>
      </w:r>
    </w:p>
    <w:p w:rsidR="00454ED5" w:rsidRPr="00454ED5" w:rsidRDefault="00454ED5" w:rsidP="00AD5678">
      <w:pPr>
        <w:pStyle w:val="Sinespaciado"/>
        <w:numPr>
          <w:ilvl w:val="0"/>
          <w:numId w:val="4"/>
        </w:numPr>
        <w:rPr>
          <w:bCs/>
        </w:rPr>
      </w:pPr>
      <w:r w:rsidRPr="00454ED5">
        <w:rPr>
          <w:bCs/>
        </w:rPr>
        <w:t>Industria del plástico.</w:t>
      </w:r>
    </w:p>
    <w:p w:rsidR="00454ED5" w:rsidRPr="00454ED5" w:rsidRDefault="00454ED5" w:rsidP="00AD5678">
      <w:pPr>
        <w:pStyle w:val="Sinespaciado"/>
        <w:numPr>
          <w:ilvl w:val="0"/>
          <w:numId w:val="4"/>
        </w:numPr>
        <w:rPr>
          <w:bCs/>
        </w:rPr>
      </w:pPr>
      <w:r w:rsidRPr="00454ED5">
        <w:rPr>
          <w:bCs/>
        </w:rPr>
        <w:t>Industria metalúrgica.</w:t>
      </w:r>
    </w:p>
    <w:p w:rsidR="00454ED5" w:rsidRPr="00454ED5" w:rsidRDefault="00454ED5" w:rsidP="00AD5678">
      <w:pPr>
        <w:pStyle w:val="Sinespaciado"/>
        <w:numPr>
          <w:ilvl w:val="0"/>
          <w:numId w:val="4"/>
        </w:numPr>
        <w:rPr>
          <w:bCs/>
        </w:rPr>
      </w:pPr>
      <w:r w:rsidRPr="00454ED5">
        <w:rPr>
          <w:bCs/>
        </w:rPr>
        <w:t>Laminadores.</w:t>
      </w:r>
    </w:p>
    <w:p w:rsidR="00454ED5" w:rsidRPr="00454ED5" w:rsidRDefault="00454ED5" w:rsidP="00AD5678">
      <w:pPr>
        <w:pStyle w:val="Sinespaciado"/>
        <w:numPr>
          <w:ilvl w:val="0"/>
          <w:numId w:val="4"/>
        </w:numPr>
        <w:rPr>
          <w:bCs/>
        </w:rPr>
      </w:pPr>
      <w:r w:rsidRPr="00454ED5">
        <w:rPr>
          <w:bCs/>
        </w:rPr>
        <w:t>Montacargas.</w:t>
      </w:r>
    </w:p>
    <w:p w:rsidR="00454ED5" w:rsidRDefault="00454ED5" w:rsidP="00454ED5">
      <w:pPr>
        <w:pStyle w:val="Sinespaciado"/>
        <w:rPr>
          <w:b/>
          <w:bCs/>
        </w:rPr>
      </w:pPr>
    </w:p>
    <w:p w:rsidR="00454ED5" w:rsidRDefault="00454ED5" w:rsidP="00454ED5">
      <w:pPr>
        <w:pStyle w:val="Sinespaciado"/>
        <w:rPr>
          <w:b/>
          <w:bCs/>
        </w:rPr>
      </w:pPr>
      <w:r>
        <w:rPr>
          <w:b/>
          <w:bCs/>
        </w:rPr>
        <w:t>Son ampliamente usados para:</w:t>
      </w:r>
    </w:p>
    <w:p w:rsidR="00454ED5" w:rsidRPr="00454ED5" w:rsidRDefault="00454ED5" w:rsidP="00454ED5">
      <w:pPr>
        <w:pStyle w:val="Sinespaciado"/>
        <w:numPr>
          <w:ilvl w:val="0"/>
          <w:numId w:val="5"/>
        </w:numPr>
        <w:rPr>
          <w:bCs/>
        </w:rPr>
      </w:pPr>
      <w:r w:rsidRPr="00454ED5">
        <w:rPr>
          <w:bCs/>
        </w:rPr>
        <w:t>Unidades de extrusión.</w:t>
      </w:r>
    </w:p>
    <w:p w:rsidR="00454ED5" w:rsidRPr="00454ED5" w:rsidRDefault="00454ED5" w:rsidP="00454ED5">
      <w:pPr>
        <w:pStyle w:val="Sinespaciado"/>
        <w:numPr>
          <w:ilvl w:val="0"/>
          <w:numId w:val="5"/>
        </w:numPr>
        <w:rPr>
          <w:bCs/>
        </w:rPr>
      </w:pPr>
      <w:r w:rsidRPr="00454ED5">
        <w:rPr>
          <w:bCs/>
        </w:rPr>
        <w:t>Unidad de grúa.</w:t>
      </w:r>
    </w:p>
    <w:p w:rsidR="00454ED5" w:rsidRPr="00454ED5" w:rsidRDefault="00454ED5" w:rsidP="00454ED5">
      <w:pPr>
        <w:pStyle w:val="Sinespaciado"/>
        <w:numPr>
          <w:ilvl w:val="0"/>
          <w:numId w:val="5"/>
        </w:numPr>
        <w:rPr>
          <w:bCs/>
        </w:rPr>
      </w:pPr>
      <w:r w:rsidRPr="00454ED5">
        <w:rPr>
          <w:bCs/>
        </w:rPr>
        <w:t>Unidad de transporte.</w:t>
      </w:r>
    </w:p>
    <w:p w:rsidR="00454ED5" w:rsidRPr="00454ED5" w:rsidRDefault="00454ED5" w:rsidP="00454ED5">
      <w:pPr>
        <w:pStyle w:val="Sinespaciado"/>
        <w:numPr>
          <w:ilvl w:val="0"/>
          <w:numId w:val="5"/>
        </w:numPr>
        <w:rPr>
          <w:bCs/>
        </w:rPr>
      </w:pPr>
      <w:r w:rsidRPr="00454ED5">
        <w:rPr>
          <w:bCs/>
        </w:rPr>
        <w:t>Acondicionadores de papel y máquinas de embalaje.</w:t>
      </w:r>
    </w:p>
    <w:p w:rsidR="00454ED5" w:rsidRPr="00454ED5" w:rsidRDefault="00454ED5" w:rsidP="00454ED5">
      <w:pPr>
        <w:pStyle w:val="Sinespaciado"/>
        <w:numPr>
          <w:ilvl w:val="0"/>
          <w:numId w:val="5"/>
        </w:numPr>
        <w:rPr>
          <w:bCs/>
        </w:rPr>
      </w:pPr>
      <w:r w:rsidRPr="00454ED5">
        <w:rPr>
          <w:bCs/>
        </w:rPr>
        <w:t>Unidad de rodillo.</w:t>
      </w:r>
    </w:p>
    <w:p w:rsidR="00454ED5" w:rsidRPr="00454ED5" w:rsidRDefault="00454ED5" w:rsidP="00454ED5">
      <w:pPr>
        <w:pStyle w:val="Sinespaciado"/>
        <w:numPr>
          <w:ilvl w:val="0"/>
          <w:numId w:val="5"/>
        </w:numPr>
        <w:rPr>
          <w:bCs/>
        </w:rPr>
      </w:pPr>
      <w:r w:rsidRPr="00454ED5">
        <w:rPr>
          <w:bCs/>
        </w:rPr>
        <w:t>Área de prueba de manejo.</w:t>
      </w:r>
    </w:p>
    <w:p w:rsidR="00454ED5" w:rsidRPr="00454ED5" w:rsidRDefault="00454ED5" w:rsidP="00454ED5">
      <w:pPr>
        <w:pStyle w:val="Sinespaciado"/>
        <w:numPr>
          <w:ilvl w:val="0"/>
          <w:numId w:val="5"/>
        </w:numPr>
        <w:rPr>
          <w:bCs/>
        </w:rPr>
      </w:pPr>
      <w:r w:rsidRPr="00454ED5">
        <w:rPr>
          <w:bCs/>
        </w:rPr>
        <w:t>Accionamientos en prensas y amasadoras.</w:t>
      </w:r>
    </w:p>
    <w:p w:rsidR="0070267A" w:rsidRDefault="0070267A" w:rsidP="0070267A">
      <w:pPr>
        <w:pStyle w:val="Sinespaciado"/>
        <w:rPr>
          <w:b/>
          <w:bCs/>
        </w:rPr>
      </w:pPr>
    </w:p>
    <w:p w:rsidR="00454ED5" w:rsidRPr="0070267A" w:rsidRDefault="00454ED5" w:rsidP="00454ED5">
      <w:pPr>
        <w:pStyle w:val="Sinespaciado"/>
        <w:jc w:val="both"/>
      </w:pPr>
    </w:p>
    <w:p w:rsidR="00870288" w:rsidRDefault="00870288"/>
    <w:sectPr w:rsidR="00870288" w:rsidSect="007026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C688A"/>
    <w:multiLevelType w:val="hybridMultilevel"/>
    <w:tmpl w:val="6F3812E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6231A80"/>
    <w:multiLevelType w:val="hybridMultilevel"/>
    <w:tmpl w:val="1A36F63E"/>
    <w:lvl w:ilvl="0" w:tplc="8E027408">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D4B770F"/>
    <w:multiLevelType w:val="hybridMultilevel"/>
    <w:tmpl w:val="95BCB98A"/>
    <w:lvl w:ilvl="0" w:tplc="8F0A0DA2">
      <w:start w:val="1"/>
      <w:numFmt w:val="bullet"/>
      <w:lvlText w:val=""/>
      <w:lvlJc w:val="left"/>
      <w:pPr>
        <w:ind w:left="720" w:hanging="360"/>
      </w:pPr>
      <w:rPr>
        <w:rFonts w:ascii="Symbol" w:hAnsi="Symbo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5AAC4C4C"/>
    <w:multiLevelType w:val="hybridMultilevel"/>
    <w:tmpl w:val="9E36F242"/>
    <w:lvl w:ilvl="0" w:tplc="80303298">
      <w:start w:val="1"/>
      <w:numFmt w:val="bullet"/>
      <w:lvlText w:val=""/>
      <w:lvlJc w:val="left"/>
      <w:pPr>
        <w:tabs>
          <w:tab w:val="num" w:pos="1778"/>
        </w:tabs>
        <w:ind w:left="1778" w:hanging="360"/>
      </w:pPr>
      <w:rPr>
        <w:rFonts w:ascii="Wingdings" w:hAnsi="Wingdings" w:hint="default"/>
      </w:rPr>
    </w:lvl>
    <w:lvl w:ilvl="1" w:tplc="7E9C8410" w:tentative="1">
      <w:start w:val="1"/>
      <w:numFmt w:val="bullet"/>
      <w:lvlText w:val=""/>
      <w:lvlJc w:val="left"/>
      <w:pPr>
        <w:tabs>
          <w:tab w:val="num" w:pos="1440"/>
        </w:tabs>
        <w:ind w:left="1440" w:hanging="360"/>
      </w:pPr>
      <w:rPr>
        <w:rFonts w:ascii="Wingdings" w:hAnsi="Wingdings" w:hint="default"/>
      </w:rPr>
    </w:lvl>
    <w:lvl w:ilvl="2" w:tplc="F446D054" w:tentative="1">
      <w:start w:val="1"/>
      <w:numFmt w:val="bullet"/>
      <w:lvlText w:val=""/>
      <w:lvlJc w:val="left"/>
      <w:pPr>
        <w:tabs>
          <w:tab w:val="num" w:pos="2160"/>
        </w:tabs>
        <w:ind w:left="2160" w:hanging="360"/>
      </w:pPr>
      <w:rPr>
        <w:rFonts w:ascii="Wingdings" w:hAnsi="Wingdings" w:hint="default"/>
      </w:rPr>
    </w:lvl>
    <w:lvl w:ilvl="3" w:tplc="DA022448" w:tentative="1">
      <w:start w:val="1"/>
      <w:numFmt w:val="bullet"/>
      <w:lvlText w:val=""/>
      <w:lvlJc w:val="left"/>
      <w:pPr>
        <w:tabs>
          <w:tab w:val="num" w:pos="2880"/>
        </w:tabs>
        <w:ind w:left="2880" w:hanging="360"/>
      </w:pPr>
      <w:rPr>
        <w:rFonts w:ascii="Wingdings" w:hAnsi="Wingdings" w:hint="default"/>
      </w:rPr>
    </w:lvl>
    <w:lvl w:ilvl="4" w:tplc="31784DE0" w:tentative="1">
      <w:start w:val="1"/>
      <w:numFmt w:val="bullet"/>
      <w:lvlText w:val=""/>
      <w:lvlJc w:val="left"/>
      <w:pPr>
        <w:tabs>
          <w:tab w:val="num" w:pos="3600"/>
        </w:tabs>
        <w:ind w:left="3600" w:hanging="360"/>
      </w:pPr>
      <w:rPr>
        <w:rFonts w:ascii="Wingdings" w:hAnsi="Wingdings" w:hint="default"/>
      </w:rPr>
    </w:lvl>
    <w:lvl w:ilvl="5" w:tplc="DA2ECF00" w:tentative="1">
      <w:start w:val="1"/>
      <w:numFmt w:val="bullet"/>
      <w:lvlText w:val=""/>
      <w:lvlJc w:val="left"/>
      <w:pPr>
        <w:tabs>
          <w:tab w:val="num" w:pos="4320"/>
        </w:tabs>
        <w:ind w:left="4320" w:hanging="360"/>
      </w:pPr>
      <w:rPr>
        <w:rFonts w:ascii="Wingdings" w:hAnsi="Wingdings" w:hint="default"/>
      </w:rPr>
    </w:lvl>
    <w:lvl w:ilvl="6" w:tplc="AEE06B5A" w:tentative="1">
      <w:start w:val="1"/>
      <w:numFmt w:val="bullet"/>
      <w:lvlText w:val=""/>
      <w:lvlJc w:val="left"/>
      <w:pPr>
        <w:tabs>
          <w:tab w:val="num" w:pos="5040"/>
        </w:tabs>
        <w:ind w:left="5040" w:hanging="360"/>
      </w:pPr>
      <w:rPr>
        <w:rFonts w:ascii="Wingdings" w:hAnsi="Wingdings" w:hint="default"/>
      </w:rPr>
    </w:lvl>
    <w:lvl w:ilvl="7" w:tplc="CD6644CA" w:tentative="1">
      <w:start w:val="1"/>
      <w:numFmt w:val="bullet"/>
      <w:lvlText w:val=""/>
      <w:lvlJc w:val="left"/>
      <w:pPr>
        <w:tabs>
          <w:tab w:val="num" w:pos="5760"/>
        </w:tabs>
        <w:ind w:left="5760" w:hanging="360"/>
      </w:pPr>
      <w:rPr>
        <w:rFonts w:ascii="Wingdings" w:hAnsi="Wingdings" w:hint="default"/>
      </w:rPr>
    </w:lvl>
    <w:lvl w:ilvl="8" w:tplc="576C64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030AA3"/>
    <w:multiLevelType w:val="hybridMultilevel"/>
    <w:tmpl w:val="E23CA95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7A"/>
    <w:rsid w:val="00105030"/>
    <w:rsid w:val="00454ED5"/>
    <w:rsid w:val="004B0C41"/>
    <w:rsid w:val="0070267A"/>
    <w:rsid w:val="00870288"/>
    <w:rsid w:val="00A01BE9"/>
    <w:rsid w:val="00AD5678"/>
    <w:rsid w:val="00C8323F"/>
    <w:rsid w:val="00CA20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0EFE"/>
  <w15:chartTrackingRefBased/>
  <w15:docId w15:val="{6CFDD1EA-33CA-43C7-83E4-82F5BC49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6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text-large">
    <w:name w:val="u-text-large"/>
    <w:basedOn w:val="Normal"/>
    <w:rsid w:val="0070267A"/>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70267A"/>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Sinespaciado">
    <w:name w:val="No Spacing"/>
    <w:uiPriority w:val="1"/>
    <w:qFormat/>
    <w:rsid w:val="0070267A"/>
    <w:pPr>
      <w:spacing w:after="0" w:line="240" w:lineRule="auto"/>
    </w:pPr>
  </w:style>
  <w:style w:type="paragraph" w:styleId="Textodeglobo">
    <w:name w:val="Balloon Text"/>
    <w:basedOn w:val="Normal"/>
    <w:link w:val="TextodegloboCar"/>
    <w:uiPriority w:val="99"/>
    <w:semiHidden/>
    <w:unhideWhenUsed/>
    <w:rsid w:val="007026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267A"/>
    <w:rPr>
      <w:rFonts w:ascii="Segoe UI" w:hAnsi="Segoe UI" w:cs="Segoe UI"/>
      <w:sz w:val="18"/>
      <w:szCs w:val="18"/>
    </w:rPr>
  </w:style>
  <w:style w:type="paragraph" w:styleId="Prrafodelista">
    <w:name w:val="List Paragraph"/>
    <w:basedOn w:val="Normal"/>
    <w:uiPriority w:val="34"/>
    <w:qFormat/>
    <w:rsid w:val="00AD5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33255">
      <w:bodyDiv w:val="1"/>
      <w:marLeft w:val="0"/>
      <w:marRight w:val="0"/>
      <w:marTop w:val="0"/>
      <w:marBottom w:val="0"/>
      <w:divBdr>
        <w:top w:val="none" w:sz="0" w:space="0" w:color="auto"/>
        <w:left w:val="none" w:sz="0" w:space="0" w:color="auto"/>
        <w:bottom w:val="none" w:sz="0" w:space="0" w:color="auto"/>
        <w:right w:val="none" w:sz="0" w:space="0" w:color="auto"/>
      </w:divBdr>
    </w:div>
    <w:div w:id="139430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476</Words>
  <Characters>2621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Atacho</dc:creator>
  <cp:keywords/>
  <dc:description/>
  <cp:lastModifiedBy>Jean Atacho</cp:lastModifiedBy>
  <cp:revision>5</cp:revision>
  <dcterms:created xsi:type="dcterms:W3CDTF">2019-03-11T15:57:00Z</dcterms:created>
  <dcterms:modified xsi:type="dcterms:W3CDTF">2019-03-11T16:48:00Z</dcterms:modified>
</cp:coreProperties>
</file>