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CF" w:rsidRDefault="005C674C" w:rsidP="005C674C">
      <w:pPr>
        <w:pStyle w:val="Sinespaciado"/>
        <w:jc w:val="both"/>
      </w:pPr>
      <w:r w:rsidRPr="005C674C">
        <w:t xml:space="preserve">Los motores </w:t>
      </w:r>
      <w:r>
        <w:t>asíncronos</w:t>
      </w:r>
      <w:r w:rsidRPr="005C674C">
        <w:t xml:space="preserve"> de jaula de ardilla </w:t>
      </w:r>
      <w:r>
        <w:t xml:space="preserve">con </w:t>
      </w:r>
      <w:r w:rsidRPr="005C674C">
        <w:t>tipos de enfriamiento</w:t>
      </w:r>
      <w:r>
        <w:t xml:space="preserve"> de las clases</w:t>
      </w:r>
      <w:r w:rsidRPr="005C674C">
        <w:t xml:space="preserve"> IC 611, IC 616 e IC 666 tienen una estructura compacta, pero son extremadamente potentes.</w:t>
      </w:r>
      <w:r>
        <w:t xml:space="preserve"> </w:t>
      </w:r>
    </w:p>
    <w:p w:rsidR="009057CF" w:rsidRDefault="009057CF" w:rsidP="005C674C">
      <w:pPr>
        <w:pStyle w:val="Sinespaciado"/>
        <w:jc w:val="both"/>
      </w:pPr>
    </w:p>
    <w:p w:rsidR="005C674C" w:rsidRDefault="005C674C" w:rsidP="005C674C">
      <w:pPr>
        <w:pStyle w:val="Sinespaciado"/>
        <w:jc w:val="both"/>
      </w:pPr>
      <w:r w:rsidRPr="005C674C">
        <w:t xml:space="preserve">Los motores </w:t>
      </w:r>
      <w:r>
        <w:t>asíncronos de jaula de ardilla</w:t>
      </w:r>
      <w:r w:rsidRPr="005C674C">
        <w:t xml:space="preserve"> modulares de la serie MEBKSL de MENZEL </w:t>
      </w:r>
      <w:r>
        <w:t>con</w:t>
      </w:r>
      <w:r w:rsidRPr="005C674C">
        <w:t xml:space="preserve"> enfriamiento aire-aire son especialmente potentes y robustos. Disponen de carcasa de acero soldada con placas adaptadoras de pie integradas. Este diseño de la carcasa garantiza un enfriamiento óptimo.</w:t>
      </w:r>
      <w:r>
        <w:t xml:space="preserve"> E</w:t>
      </w:r>
      <w:r w:rsidRPr="005C674C">
        <w:t>stán disponibles con alturas de eje de hasta 800 mm y potencias de hasta 8 MW. </w:t>
      </w:r>
    </w:p>
    <w:p w:rsidR="005C674C" w:rsidRDefault="005C674C" w:rsidP="005C674C">
      <w:pPr>
        <w:pStyle w:val="Sinespaciado"/>
        <w:jc w:val="both"/>
      </w:pPr>
    </w:p>
    <w:p w:rsidR="005C674C" w:rsidRPr="005C674C" w:rsidRDefault="005C674C" w:rsidP="005C674C">
      <w:pPr>
        <w:pStyle w:val="Sinespaciado"/>
        <w:jc w:val="both"/>
      </w:pPr>
      <w:r w:rsidRPr="005C674C">
        <w:t>Están especialmente diseñados para aplicaciones industriales exigentes. Cumplen con los requisitos más exigentes</w:t>
      </w:r>
      <w:r>
        <w:t xml:space="preserve"> tales</w:t>
      </w:r>
      <w:r w:rsidRPr="005C674C">
        <w:t xml:space="preserve"> como unidades de trituración o unidades de ventilador en la industria del cemento.</w:t>
      </w:r>
    </w:p>
    <w:p w:rsidR="00A4618E" w:rsidRDefault="00A4618E" w:rsidP="005C674C">
      <w:pPr>
        <w:pStyle w:val="Sinespaciado"/>
        <w:jc w:val="both"/>
      </w:pPr>
    </w:p>
    <w:p w:rsidR="005C674C" w:rsidRDefault="005C674C" w:rsidP="005C674C">
      <w:pPr>
        <w:pStyle w:val="Sinespaciado"/>
        <w:jc w:val="both"/>
        <w:rPr>
          <w:b/>
          <w:bCs/>
        </w:rPr>
      </w:pPr>
      <w:r w:rsidRPr="00496A30">
        <w:rPr>
          <w:b/>
          <w:bCs/>
        </w:rPr>
        <w:t xml:space="preserve">Versiones estándar de motores asíncronos de Jaula de Ardilla con </w:t>
      </w:r>
      <w:r w:rsidR="009057CF">
        <w:rPr>
          <w:b/>
          <w:bCs/>
        </w:rPr>
        <w:t xml:space="preserve">intercambiadores de calor </w:t>
      </w:r>
      <w:r w:rsidR="00E307D8">
        <w:rPr>
          <w:b/>
          <w:bCs/>
        </w:rPr>
        <w:t>a</w:t>
      </w:r>
      <w:r w:rsidR="009057CF">
        <w:rPr>
          <w:b/>
          <w:bCs/>
        </w:rPr>
        <w:t>ire – aire</w:t>
      </w:r>
      <w:r w:rsidRPr="00496A30">
        <w:rPr>
          <w:b/>
          <w:bCs/>
        </w:rPr>
        <w:t>:</w:t>
      </w:r>
    </w:p>
    <w:p w:rsidR="005C674C" w:rsidRDefault="00E307D8" w:rsidP="005C674C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49F721">
            <wp:simplePos x="0" y="0"/>
            <wp:positionH relativeFrom="margin">
              <wp:align>left</wp:align>
            </wp:positionH>
            <wp:positionV relativeFrom="paragraph">
              <wp:posOffset>839470</wp:posOffset>
            </wp:positionV>
            <wp:extent cx="1333500" cy="14572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5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380" w:type="dxa"/>
        <w:tblInd w:w="20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5340"/>
      </w:tblGrid>
      <w:tr w:rsidR="005C674C" w:rsidRPr="00496A30" w:rsidTr="003D2DD1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Tipo de construcción: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t>IB M3, IM V1. (diseños especiales como en IM B35 posible en cualquier momento).</w:t>
            </w:r>
          </w:p>
        </w:tc>
      </w:tr>
      <w:tr w:rsidR="005C674C" w:rsidRPr="00496A30" w:rsidTr="003D2DD1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Clases de protección: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t>IP23</w:t>
            </w:r>
            <w:r w:rsidR="00FD66A4">
              <w:t>, IP55</w:t>
            </w:r>
          </w:p>
        </w:tc>
      </w:tr>
      <w:tr w:rsidR="005C674C" w:rsidRPr="00496A30" w:rsidTr="003D2DD1">
        <w:trPr>
          <w:trHeight w:val="2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Para operación de red e inversor:</w:t>
            </w:r>
          </w:p>
        </w:tc>
      </w:tr>
      <w:tr w:rsidR="005C674C" w:rsidRPr="00496A30" w:rsidTr="003D2DD1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Voltaje: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t>De 380 V a 13.800 V.</w:t>
            </w:r>
          </w:p>
        </w:tc>
      </w:tr>
      <w:tr w:rsidR="005C674C" w:rsidRPr="00496A30" w:rsidTr="003D2DD1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Altura del eje: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t xml:space="preserve">De </w:t>
            </w:r>
            <w:r w:rsidR="009057CF">
              <w:t>355</w:t>
            </w:r>
            <w:r w:rsidRPr="00496A30">
              <w:t xml:space="preserve"> a 560.</w:t>
            </w:r>
          </w:p>
        </w:tc>
      </w:tr>
      <w:tr w:rsidR="005C674C" w:rsidRPr="00496A30" w:rsidTr="003D2DD1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Caja de terminales: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9057CF" w:rsidP="003D2DD1">
            <w:pPr>
              <w:pStyle w:val="Sinespaciado"/>
              <w:jc w:val="both"/>
            </w:pPr>
            <w:r>
              <w:t>Izquierda y/o derecha.</w:t>
            </w:r>
          </w:p>
        </w:tc>
      </w:tr>
      <w:tr w:rsidR="005C674C" w:rsidRPr="00496A30" w:rsidTr="003D2DD1">
        <w:trPr>
          <w:trHeight w:val="467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Carcasa del motor: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9057CF" w:rsidP="003D2DD1">
            <w:pPr>
              <w:pStyle w:val="Sinespaciado"/>
              <w:jc w:val="both"/>
            </w:pPr>
            <w:r>
              <w:t>Acero</w:t>
            </w:r>
            <w:r w:rsidR="005C674C" w:rsidRPr="00496A30">
              <w:t xml:space="preserve"> soldado.</w:t>
            </w:r>
          </w:p>
        </w:tc>
      </w:tr>
      <w:tr w:rsidR="005C674C" w:rsidRPr="00496A30" w:rsidTr="003D2DD1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rPr>
                <w:b/>
                <w:bCs/>
              </w:rPr>
              <w:t>Utilización térmica: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3D2DD1">
            <w:pPr>
              <w:pStyle w:val="Sinespaciado"/>
              <w:jc w:val="both"/>
            </w:pPr>
            <w:r w:rsidRPr="00496A30">
              <w:t>F / B</w:t>
            </w:r>
            <w:r w:rsidR="00E307D8">
              <w:t>.</w:t>
            </w:r>
          </w:p>
        </w:tc>
      </w:tr>
    </w:tbl>
    <w:p w:rsidR="005C674C" w:rsidRDefault="005C674C" w:rsidP="005C674C">
      <w:pPr>
        <w:pStyle w:val="Sinespaciado"/>
        <w:jc w:val="both"/>
        <w:rPr>
          <w:b/>
          <w:bCs/>
        </w:rPr>
      </w:pPr>
    </w:p>
    <w:p w:rsidR="005C674C" w:rsidRPr="00496A30" w:rsidRDefault="005C674C" w:rsidP="005C674C">
      <w:pPr>
        <w:pStyle w:val="Sinespaciado"/>
      </w:pPr>
    </w:p>
    <w:p w:rsidR="005C674C" w:rsidRDefault="005C674C" w:rsidP="005C674C">
      <w:pPr>
        <w:pStyle w:val="Sinespaciado"/>
        <w:rPr>
          <w:b/>
          <w:bCs/>
        </w:rPr>
      </w:pPr>
      <w:r w:rsidRPr="00496A30">
        <w:rPr>
          <w:b/>
          <w:bCs/>
        </w:rPr>
        <w:t xml:space="preserve">Ventajas de los motores asíncronos de Jaula de Ardilla </w:t>
      </w:r>
      <w:r w:rsidR="009057CF">
        <w:rPr>
          <w:b/>
          <w:bCs/>
        </w:rPr>
        <w:t xml:space="preserve">con intercambiadores de calor </w:t>
      </w:r>
      <w:r w:rsidR="00E307D8">
        <w:rPr>
          <w:b/>
          <w:bCs/>
        </w:rPr>
        <w:t>a</w:t>
      </w:r>
      <w:r w:rsidR="009057CF">
        <w:rPr>
          <w:b/>
          <w:bCs/>
        </w:rPr>
        <w:t xml:space="preserve">ire – </w:t>
      </w:r>
      <w:r w:rsidR="00E307D8">
        <w:rPr>
          <w:b/>
          <w:bCs/>
        </w:rPr>
        <w:t xml:space="preserve">aire </w:t>
      </w:r>
      <w:r w:rsidR="00E307D8" w:rsidRPr="00496A30">
        <w:rPr>
          <w:b/>
          <w:bCs/>
        </w:rPr>
        <w:t>IC</w:t>
      </w:r>
      <w:r w:rsidRPr="00496A30">
        <w:rPr>
          <w:b/>
          <w:bCs/>
        </w:rPr>
        <w:t xml:space="preserve"> </w:t>
      </w:r>
      <w:r w:rsidR="009057CF">
        <w:rPr>
          <w:b/>
          <w:bCs/>
        </w:rPr>
        <w:t>611, IC 616</w:t>
      </w:r>
      <w:r w:rsidRPr="00496A30">
        <w:rPr>
          <w:b/>
          <w:bCs/>
        </w:rPr>
        <w:t xml:space="preserve"> e IC </w:t>
      </w:r>
      <w:r w:rsidR="009057CF">
        <w:rPr>
          <w:b/>
          <w:bCs/>
        </w:rPr>
        <w:t>666</w:t>
      </w:r>
      <w:r w:rsidRPr="00496A30">
        <w:rPr>
          <w:b/>
          <w:bCs/>
        </w:rPr>
        <w:t>.</w:t>
      </w:r>
    </w:p>
    <w:p w:rsidR="005C674C" w:rsidRDefault="005C674C" w:rsidP="005C674C">
      <w:pPr>
        <w:pStyle w:val="Sinespaciado"/>
        <w:rPr>
          <w:b/>
          <w:bCs/>
        </w:rPr>
      </w:pPr>
    </w:p>
    <w:tbl>
      <w:tblPr>
        <w:tblW w:w="10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2694"/>
        <w:gridCol w:w="2687"/>
        <w:gridCol w:w="2685"/>
      </w:tblGrid>
      <w:tr w:rsidR="005C674C" w:rsidRPr="00496A30" w:rsidTr="009057CF">
        <w:trPr>
          <w:trHeight w:val="9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9057CF" w:rsidP="005C674C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Construcción robusta, de baja vibración.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9057CF" w:rsidP="005C674C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Buena autolimpieza de los tubos de refrigeración.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9057CF" w:rsidP="005C674C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Alto nivel de fiabilidad.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9057CF" w:rsidP="005C674C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Tiempos de entrega rápidos.</w:t>
            </w:r>
          </w:p>
        </w:tc>
      </w:tr>
      <w:tr w:rsidR="005C674C" w:rsidRPr="00496A30" w:rsidTr="009057CF">
        <w:trPr>
          <w:trHeight w:val="7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9057CF" w:rsidP="005C674C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Máxima flexibilidad.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9057CF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9057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674C" w:rsidRPr="00496A30" w:rsidRDefault="005C674C" w:rsidP="009057C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</w:p>
        </w:tc>
      </w:tr>
    </w:tbl>
    <w:p w:rsidR="005C674C" w:rsidRPr="00E307D8" w:rsidRDefault="009057CF" w:rsidP="005C674C">
      <w:pPr>
        <w:pStyle w:val="Sinespaciado"/>
        <w:jc w:val="both"/>
        <w:rPr>
          <w:i/>
          <w:noProof/>
          <w:color w:val="FF0000"/>
        </w:rPr>
      </w:pPr>
      <w:r w:rsidRPr="00E307D8">
        <w:rPr>
          <w:i/>
          <w:noProof/>
          <w:color w:val="FF0000"/>
        </w:rPr>
        <w:t xml:space="preserve">Acontinuación la referencia de imágenes </w:t>
      </w:r>
      <w:r w:rsidR="00E307D8">
        <w:rPr>
          <w:i/>
          <w:noProof/>
          <w:color w:val="FF0000"/>
        </w:rPr>
        <w:t xml:space="preserve">(adjuntas en el correo) </w:t>
      </w:r>
      <w:r w:rsidRPr="00E307D8">
        <w:rPr>
          <w:i/>
          <w:noProof/>
          <w:color w:val="FF0000"/>
        </w:rPr>
        <w:t xml:space="preserve">que deben ser colocadas en la parte lateral derecha de manera vertical </w:t>
      </w:r>
      <w:r w:rsidR="00E307D8" w:rsidRPr="00E307D8">
        <w:rPr>
          <w:i/>
          <w:noProof/>
          <w:color w:val="FF0000"/>
        </w:rPr>
        <w:t>como se indico en el primer caso ejemplificado</w:t>
      </w:r>
      <w:r w:rsidR="00E307D8">
        <w:rPr>
          <w:i/>
          <w:noProof/>
          <w:color w:val="FF0000"/>
        </w:rPr>
        <w:t xml:space="preserve"> referente a galería de imágenes referenciales donde el cliente puede visualizarlas de manera ampliada si lo desea</w:t>
      </w:r>
      <w:r w:rsidR="00E307D8" w:rsidRPr="00E307D8">
        <w:rPr>
          <w:i/>
          <w:noProof/>
          <w:color w:val="FF0000"/>
        </w:rPr>
        <w:t>:</w:t>
      </w:r>
    </w:p>
    <w:p w:rsidR="00E307D8" w:rsidRDefault="00E307D8" w:rsidP="00E307D8">
      <w:pPr>
        <w:pStyle w:val="Sinespaciado"/>
        <w:jc w:val="center"/>
      </w:pPr>
      <w:r>
        <w:rPr>
          <w:noProof/>
        </w:rPr>
        <w:drawing>
          <wp:inline distT="0" distB="0" distL="0" distR="0" wp14:anchorId="4686B0DC" wp14:editId="383BCAE7">
            <wp:extent cx="6343650" cy="2038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AD3" w:rsidRDefault="00903AD3" w:rsidP="00903AD3">
      <w:pPr>
        <w:pStyle w:val="Sinespaciado"/>
        <w:rPr>
          <w:b/>
          <w:bCs/>
        </w:rPr>
      </w:pPr>
      <w:r>
        <w:rPr>
          <w:b/>
          <w:bCs/>
        </w:rPr>
        <w:t xml:space="preserve">Valores de voltajes disponibles para motores asíncronos de Jaula de Ardilla con intercambiadores de calor aire – aire </w:t>
      </w:r>
      <w:r>
        <w:rPr>
          <w:b/>
        </w:rPr>
        <w:t>IC 611, IC 616 e IC 666</w:t>
      </w:r>
      <w:r>
        <w:rPr>
          <w:b/>
          <w:bCs/>
        </w:rPr>
        <w:t>.</w:t>
      </w:r>
    </w:p>
    <w:p w:rsidR="00903AD3" w:rsidRDefault="00903AD3" w:rsidP="00903AD3">
      <w:pPr>
        <w:pStyle w:val="Sinespaciado"/>
        <w:rPr>
          <w:b/>
          <w:bCs/>
        </w:rPr>
      </w:pPr>
    </w:p>
    <w:tbl>
      <w:tblPr>
        <w:tblW w:w="11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45"/>
        <w:gridCol w:w="2905"/>
        <w:gridCol w:w="2685"/>
        <w:gridCol w:w="2865"/>
      </w:tblGrid>
      <w:tr w:rsidR="00903AD3" w:rsidTr="00903AD3">
        <w:trPr>
          <w:trHeight w:val="528"/>
        </w:trPr>
        <w:tc>
          <w:tcPr>
            <w:tcW w:w="555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lang w:eastAsia="es-PE"/>
              </w:rPr>
              <w:t>Tensión nominal a 50Hz:</w:t>
            </w:r>
          </w:p>
        </w:tc>
        <w:tc>
          <w:tcPr>
            <w:tcW w:w="555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lang w:eastAsia="es-PE"/>
              </w:rPr>
              <w:t>Tensión nominal a 60Hz:</w:t>
            </w:r>
          </w:p>
        </w:tc>
      </w:tr>
      <w:tr w:rsidR="00903AD3" w:rsidTr="00903AD3">
        <w:trPr>
          <w:trHeight w:val="772"/>
        </w:trPr>
        <w:tc>
          <w:tcPr>
            <w:tcW w:w="26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 w:rsidP="00903AD3">
            <w:pPr>
              <w:numPr>
                <w:ilvl w:val="0"/>
                <w:numId w:val="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Baja tensión:</w:t>
            </w:r>
          </w:p>
        </w:tc>
        <w:tc>
          <w:tcPr>
            <w:tcW w:w="29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380 V, 400 V, 500 V, 690 V.</w:t>
            </w:r>
          </w:p>
        </w:tc>
        <w:tc>
          <w:tcPr>
            <w:tcW w:w="26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 w:rsidP="00903AD3">
            <w:pPr>
              <w:numPr>
                <w:ilvl w:val="0"/>
                <w:numId w:val="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Baja tensión:</w:t>
            </w:r>
          </w:p>
        </w:tc>
        <w:tc>
          <w:tcPr>
            <w:tcW w:w="286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380 V, 400 V, 440 V, 480 V, 500 V, 525 V, 575 V, 690 V.</w:t>
            </w:r>
          </w:p>
        </w:tc>
      </w:tr>
      <w:tr w:rsidR="00903AD3" w:rsidTr="00903AD3">
        <w:trPr>
          <w:trHeight w:val="528"/>
        </w:trPr>
        <w:tc>
          <w:tcPr>
            <w:tcW w:w="26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 w:rsidP="00903AD3">
            <w:pPr>
              <w:numPr>
                <w:ilvl w:val="0"/>
                <w:numId w:val="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Media y alta tensión:</w:t>
            </w:r>
          </w:p>
        </w:tc>
        <w:tc>
          <w:tcPr>
            <w:tcW w:w="29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3000 V, 3.300 V, 5.000 V, 5.500 V, 6000 V, 6.600 V, 10.000 V, 10.500 V, 11.000 V.</w:t>
            </w:r>
          </w:p>
        </w:tc>
        <w:tc>
          <w:tcPr>
            <w:tcW w:w="26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 w:rsidP="00903AD3">
            <w:pPr>
              <w:numPr>
                <w:ilvl w:val="0"/>
                <w:numId w:val="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Media y alta tensión:</w:t>
            </w:r>
          </w:p>
        </w:tc>
        <w:tc>
          <w:tcPr>
            <w:tcW w:w="286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3AD3" w:rsidRDefault="00903AD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2.300 V, 4.160 V, 6.000 V, 6.600 V, 11.000 V, 13.200 V, 13.800 V.</w:t>
            </w:r>
          </w:p>
        </w:tc>
      </w:tr>
    </w:tbl>
    <w:p w:rsidR="00E307D8" w:rsidRDefault="00E307D8" w:rsidP="00903AD3">
      <w:pPr>
        <w:pStyle w:val="Sinespaciado"/>
        <w:jc w:val="both"/>
      </w:pPr>
    </w:p>
    <w:p w:rsidR="00986DBE" w:rsidRPr="005060A3" w:rsidRDefault="005060A3" w:rsidP="00903AD3">
      <w:pPr>
        <w:pStyle w:val="Sinespaciado"/>
      </w:pPr>
      <w:bookmarkStart w:id="0" w:name="_Hlk2789762"/>
      <w:r>
        <w:t xml:space="preserve">También </w:t>
      </w:r>
      <w:r w:rsidRPr="003B660E">
        <w:t>podemos implementar todos los voltajes especiales o desviaciones de tolerancia de voltaje a pe</w:t>
      </w:r>
      <w:r>
        <w:t>tición del cliente</w:t>
      </w:r>
      <w:r w:rsidRPr="003B660E">
        <w:t>.</w:t>
      </w:r>
      <w:bookmarkEnd w:id="0"/>
    </w:p>
    <w:p w:rsidR="005060A3" w:rsidRDefault="005060A3" w:rsidP="00903AD3">
      <w:pPr>
        <w:pStyle w:val="Sinespaciado"/>
        <w:rPr>
          <w:b/>
          <w:bCs/>
        </w:rPr>
      </w:pPr>
    </w:p>
    <w:p w:rsidR="00903AD3" w:rsidRDefault="00903AD3" w:rsidP="00903AD3">
      <w:pPr>
        <w:pStyle w:val="Sinespaciado"/>
        <w:rPr>
          <w:b/>
          <w:bCs/>
        </w:rPr>
      </w:pPr>
      <w:r>
        <w:rPr>
          <w:b/>
          <w:bCs/>
        </w:rPr>
        <w:t xml:space="preserve">Áreas de aplicación de los motores asíncronos de Jaula de Ardilla con intercambiadores de calor aire – aire </w:t>
      </w:r>
      <w:r>
        <w:rPr>
          <w:b/>
        </w:rPr>
        <w:t>IC 611, IC 616 e IC 666</w:t>
      </w:r>
      <w:r>
        <w:rPr>
          <w:b/>
          <w:bCs/>
        </w:rPr>
        <w:t>.</w:t>
      </w:r>
    </w:p>
    <w:p w:rsidR="00903AD3" w:rsidRDefault="00903AD3" w:rsidP="00903AD3">
      <w:pPr>
        <w:pStyle w:val="Sinespaciado"/>
      </w:pPr>
    </w:p>
    <w:p w:rsidR="00903AD3" w:rsidRDefault="00903AD3" w:rsidP="00903AD3">
      <w:pPr>
        <w:pStyle w:val="Sinespaciado"/>
        <w:rPr>
          <w:b/>
        </w:rPr>
      </w:pPr>
      <w:r>
        <w:rPr>
          <w:b/>
        </w:rPr>
        <w:t>Áreas típicas de uso: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bookmarkStart w:id="1" w:name="_Hlk2789857"/>
      <w:r>
        <w:t>Proceso industrial.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r>
        <w:t>Industria del cemento.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r>
        <w:t>Industria química y petroquímica.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r>
        <w:t xml:space="preserve">Industria de petróleo </w:t>
      </w:r>
      <w:bookmarkEnd w:id="1"/>
      <w:r>
        <w:t>y gas.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r>
        <w:t>Plantas de energía.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r>
        <w:t>Industria papelera.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r>
        <w:t>Gestión de aguas y aguas residuales.</w:t>
      </w:r>
    </w:p>
    <w:p w:rsidR="00903AD3" w:rsidRDefault="00903AD3" w:rsidP="00903AD3">
      <w:pPr>
        <w:pStyle w:val="Sinespaciado"/>
        <w:numPr>
          <w:ilvl w:val="1"/>
          <w:numId w:val="6"/>
        </w:numPr>
      </w:pPr>
      <w:r>
        <w:t>Industria metalúrgica.</w:t>
      </w:r>
    </w:p>
    <w:p w:rsidR="00903AD3" w:rsidRDefault="00903AD3" w:rsidP="00903AD3">
      <w:pPr>
        <w:pStyle w:val="Sinespaciado"/>
        <w:rPr>
          <w:b/>
        </w:rPr>
      </w:pPr>
      <w:r>
        <w:t xml:space="preserve"> </w:t>
      </w:r>
      <w:r>
        <w:rPr>
          <w:b/>
        </w:rPr>
        <w:t>Los medios de aplicación:</w:t>
      </w:r>
    </w:p>
    <w:p w:rsidR="00903AD3" w:rsidRDefault="00903AD3" w:rsidP="00903AD3">
      <w:pPr>
        <w:pStyle w:val="Sinespaciado"/>
        <w:numPr>
          <w:ilvl w:val="0"/>
          <w:numId w:val="7"/>
        </w:numPr>
      </w:pPr>
      <w:r>
        <w:t>Unidades de refinador.</w:t>
      </w:r>
    </w:p>
    <w:p w:rsidR="00903AD3" w:rsidRDefault="00903AD3" w:rsidP="00903AD3">
      <w:pPr>
        <w:pStyle w:val="Sinespaciado"/>
        <w:numPr>
          <w:ilvl w:val="0"/>
          <w:numId w:val="7"/>
        </w:numPr>
      </w:pPr>
      <w:r>
        <w:t>Transmisión de la bomba.</w:t>
      </w:r>
    </w:p>
    <w:p w:rsidR="00903AD3" w:rsidRDefault="00903AD3" w:rsidP="00903AD3">
      <w:pPr>
        <w:pStyle w:val="Sinespaciado"/>
        <w:numPr>
          <w:ilvl w:val="0"/>
          <w:numId w:val="7"/>
        </w:numPr>
      </w:pPr>
      <w:r>
        <w:t>Unidad mezcladora.</w:t>
      </w:r>
    </w:p>
    <w:p w:rsidR="00903AD3" w:rsidRDefault="00903AD3" w:rsidP="00903AD3">
      <w:pPr>
        <w:pStyle w:val="Sinespaciado"/>
        <w:numPr>
          <w:ilvl w:val="0"/>
          <w:numId w:val="7"/>
        </w:numPr>
      </w:pPr>
      <w:r>
        <w:t>Unidad trituradora.</w:t>
      </w:r>
    </w:p>
    <w:p w:rsidR="00903AD3" w:rsidRDefault="00903AD3" w:rsidP="00903AD3">
      <w:pPr>
        <w:pStyle w:val="Sinespaciado"/>
        <w:numPr>
          <w:ilvl w:val="0"/>
          <w:numId w:val="7"/>
        </w:numPr>
      </w:pPr>
      <w:r>
        <w:t xml:space="preserve">Compresores y accionamientos compactadores. </w:t>
      </w:r>
    </w:p>
    <w:p w:rsidR="00903AD3" w:rsidRDefault="00903AD3" w:rsidP="00903AD3">
      <w:pPr>
        <w:pStyle w:val="Sinespaciado"/>
        <w:numPr>
          <w:ilvl w:val="0"/>
          <w:numId w:val="7"/>
        </w:numPr>
      </w:pPr>
      <w:r>
        <w:t>Unidades de ventilador.</w:t>
      </w:r>
    </w:p>
    <w:p w:rsidR="00903AD3" w:rsidRDefault="00903AD3" w:rsidP="00903AD3">
      <w:pPr>
        <w:pStyle w:val="Sinespaciado"/>
        <w:jc w:val="both"/>
      </w:pPr>
    </w:p>
    <w:p w:rsidR="00903AD3" w:rsidRPr="00C22832" w:rsidRDefault="00903AD3" w:rsidP="00903AD3">
      <w:pPr>
        <w:pStyle w:val="Sinespaciado"/>
        <w:jc w:val="both"/>
        <w:rPr>
          <w:b/>
        </w:rPr>
      </w:pPr>
      <w:r w:rsidRPr="00C22832">
        <w:rPr>
          <w:b/>
        </w:rPr>
        <w:t xml:space="preserve">Principio </w:t>
      </w:r>
      <w:r w:rsidR="00C22832" w:rsidRPr="00C22832">
        <w:rPr>
          <w:b/>
        </w:rPr>
        <w:t>de intercambiadores de calor IC 611, IC 616 e IC 666 en motores asíncronos de Jaula de ardilla.</w:t>
      </w:r>
    </w:p>
    <w:p w:rsidR="00C22832" w:rsidRDefault="00C22832" w:rsidP="00903AD3">
      <w:pPr>
        <w:pStyle w:val="Sinespaciado"/>
        <w:jc w:val="both"/>
      </w:pPr>
    </w:p>
    <w:p w:rsidR="00C22832" w:rsidRDefault="00C22832" w:rsidP="00C22832">
      <w:pPr>
        <w:pStyle w:val="Sinespaciado"/>
        <w:jc w:val="both"/>
        <w:rPr>
          <w:lang w:eastAsia="es-PE"/>
        </w:rPr>
      </w:pPr>
      <w:r w:rsidRPr="00C22832">
        <w:rPr>
          <w:lang w:eastAsia="es-PE"/>
        </w:rPr>
        <w:t xml:space="preserve">El tipo de enfriamiento </w:t>
      </w:r>
      <w:r>
        <w:rPr>
          <w:lang w:eastAsia="es-PE"/>
        </w:rPr>
        <w:t xml:space="preserve">de intercambiadores de calor </w:t>
      </w:r>
      <w:r w:rsidRPr="00C22832">
        <w:rPr>
          <w:lang w:eastAsia="es-PE"/>
        </w:rPr>
        <w:t>aire-aire más común o más frecuente es</w:t>
      </w:r>
      <w:r>
        <w:rPr>
          <w:lang w:eastAsia="es-PE"/>
        </w:rPr>
        <w:t xml:space="preserve"> el de la clase</w:t>
      </w:r>
      <w:r w:rsidRPr="00C22832">
        <w:rPr>
          <w:lang w:eastAsia="es-PE"/>
        </w:rPr>
        <w:t xml:space="preserve"> IC 611. En </w:t>
      </w:r>
      <w:r>
        <w:rPr>
          <w:lang w:eastAsia="es-PE"/>
        </w:rPr>
        <w:t>este sistema</w:t>
      </w:r>
      <w:r w:rsidRPr="00C22832">
        <w:rPr>
          <w:lang w:eastAsia="es-PE"/>
        </w:rPr>
        <w:t xml:space="preserve"> el aire del escape del motor fluye a través de una campana adjunta hasta el Intercambiador de </w:t>
      </w:r>
      <w:r>
        <w:rPr>
          <w:lang w:eastAsia="es-PE"/>
        </w:rPr>
        <w:t xml:space="preserve">calor </w:t>
      </w:r>
      <w:r w:rsidRPr="00C22832">
        <w:rPr>
          <w:lang w:eastAsia="es-PE"/>
        </w:rPr>
        <w:t>aire</w:t>
      </w:r>
      <w:r>
        <w:rPr>
          <w:lang w:eastAsia="es-PE"/>
        </w:rPr>
        <w:t xml:space="preserve"> – </w:t>
      </w:r>
      <w:r w:rsidRPr="00C22832">
        <w:rPr>
          <w:lang w:eastAsia="es-PE"/>
        </w:rPr>
        <w:t>calor. El intercambiador de calor aire-aire es típicamente una construcción soldada con tubos de enfriamiento de acero o aluminio.</w:t>
      </w:r>
      <w:r>
        <w:rPr>
          <w:lang w:eastAsia="es-PE"/>
        </w:rPr>
        <w:t xml:space="preserve"> </w:t>
      </w:r>
      <w:r w:rsidRPr="00C22832">
        <w:rPr>
          <w:lang w:eastAsia="es-PE"/>
        </w:rPr>
        <w:t>El calor generado en el motor eléctrico (estator y rotor) se alimenta al intercambiador de calor aire-aire mediante un ventilador interno en el circuito interno. El aire ambiente del ventilador exterior (ventilador secundario) en el eje fluye a través del intercambiador de calor aire-aire. El aire interno o el aire de escape del motor fluye alrededor de las tuberías de enfriamiento, y es enfriado por el flujo de aire secundario dentro de las tuberías. Una campana con abertura de succión cubre el ventilador secundario.</w:t>
      </w:r>
    </w:p>
    <w:p w:rsidR="00C22832" w:rsidRDefault="00C22832" w:rsidP="00C22832">
      <w:pPr>
        <w:pStyle w:val="Sinespaciado"/>
        <w:jc w:val="both"/>
        <w:rPr>
          <w:lang w:eastAsia="es-PE"/>
        </w:rPr>
      </w:pPr>
    </w:p>
    <w:p w:rsidR="00C22832" w:rsidRDefault="00C22832" w:rsidP="00C22832">
      <w:pPr>
        <w:pStyle w:val="Sinespaciado"/>
        <w:jc w:val="both"/>
      </w:pPr>
      <w:r w:rsidRPr="00C22832">
        <w:t>Para el tipo de enfriamiento</w:t>
      </w:r>
      <w:r>
        <w:t xml:space="preserve"> de intercambiadores de calor aire – aire</w:t>
      </w:r>
      <w:r w:rsidRPr="00C22832">
        <w:t xml:space="preserve"> IC 666, se asegura el enfriamiento forzado para los circuitos de enfriamiento interno y externo del motor eléctrico. Por lo tanto, siempre hay un flujo constante de aire de refrigeración en el motor interno y en el circuito externo, que puede ser necesario para el funcionamiento a velocidad variable.</w:t>
      </w:r>
    </w:p>
    <w:p w:rsidR="00C22832" w:rsidRPr="00C22832" w:rsidRDefault="00C22832" w:rsidP="00C22832">
      <w:pPr>
        <w:pStyle w:val="Sinespaciado"/>
        <w:jc w:val="both"/>
      </w:pPr>
    </w:p>
    <w:p w:rsidR="00C22832" w:rsidRPr="00C22832" w:rsidRDefault="00C22832" w:rsidP="00C22832">
      <w:pPr>
        <w:pStyle w:val="Sinespaciado"/>
        <w:jc w:val="both"/>
      </w:pPr>
      <w:r w:rsidRPr="00C22832">
        <w:t>En los motores eléctricos de los tipos de refrigeración</w:t>
      </w:r>
      <w:r>
        <w:t xml:space="preserve"> de intercambiadores de calor aire – aire en las clases </w:t>
      </w:r>
      <w:r w:rsidRPr="00C22832">
        <w:t>IC 61</w:t>
      </w:r>
      <w:r w:rsidR="00986DBE">
        <w:t>1</w:t>
      </w:r>
      <w:r w:rsidRPr="00C22832">
        <w:t xml:space="preserve"> e IC 61</w:t>
      </w:r>
      <w:r w:rsidR="00986DBE">
        <w:t>6</w:t>
      </w:r>
      <w:r w:rsidRPr="00C22832">
        <w:t>, el circuito interno es ventilado por el núcleo laminado / ventilador interior. El flujo de aire externo está asegurado por un motor de ventilador separado, llamado ventilador de enfriamiento forzado. </w:t>
      </w:r>
    </w:p>
    <w:p w:rsidR="00C22832" w:rsidRPr="00C22832" w:rsidRDefault="00C22832" w:rsidP="00C22832">
      <w:pPr>
        <w:pStyle w:val="Sinespaciado"/>
        <w:jc w:val="both"/>
      </w:pPr>
    </w:p>
    <w:p w:rsidR="00C22832" w:rsidRDefault="00986DBE" w:rsidP="00C22832">
      <w:pPr>
        <w:pStyle w:val="Sinespaciado"/>
        <w:jc w:val="both"/>
        <w:rPr>
          <w:lang w:eastAsia="es-PE"/>
        </w:rPr>
      </w:pPr>
      <w:r>
        <w:rPr>
          <w:lang w:eastAsia="es-PE"/>
        </w:rPr>
        <w:lastRenderedPageBreak/>
        <w:t xml:space="preserve">       </w:t>
      </w:r>
      <w:r w:rsidR="00C22832">
        <w:rPr>
          <w:noProof/>
        </w:rPr>
        <w:drawing>
          <wp:inline distT="0" distB="0" distL="0" distR="0" wp14:anchorId="3AB206B1" wp14:editId="5EDDC0FE">
            <wp:extent cx="2581275" cy="2393296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949"/>
                    <a:stretch/>
                  </pic:blipFill>
                  <pic:spPr bwMode="auto">
                    <a:xfrm>
                      <a:off x="0" y="0"/>
                      <a:ext cx="2600286" cy="241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s-PE"/>
        </w:rPr>
        <w:t xml:space="preserve">                         </w:t>
      </w:r>
      <w:r w:rsidR="00C22832">
        <w:rPr>
          <w:lang w:eastAsia="es-PE"/>
        </w:rPr>
        <w:t xml:space="preserve">   </w:t>
      </w:r>
      <w:r w:rsidR="00C22832">
        <w:rPr>
          <w:noProof/>
        </w:rPr>
        <w:drawing>
          <wp:inline distT="0" distB="0" distL="0" distR="0" wp14:anchorId="4DBC20EF" wp14:editId="00BE74EF">
            <wp:extent cx="2571750" cy="2057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32" w:rsidRDefault="00C22832" w:rsidP="00C22832">
      <w:pPr>
        <w:pStyle w:val="Sinespaciado"/>
        <w:jc w:val="both"/>
        <w:rPr>
          <w:lang w:eastAsia="es-PE"/>
        </w:rPr>
      </w:pPr>
      <w:r>
        <w:rPr>
          <w:lang w:eastAsia="es-PE"/>
        </w:rPr>
        <w:t xml:space="preserve">                      </w:t>
      </w:r>
      <w:r w:rsidR="00986DBE">
        <w:rPr>
          <w:lang w:eastAsia="es-PE"/>
        </w:rPr>
        <w:t xml:space="preserve">           </w:t>
      </w:r>
      <w:r>
        <w:rPr>
          <w:lang w:eastAsia="es-PE"/>
        </w:rPr>
        <w:t xml:space="preserve">  IC 666                                                         </w:t>
      </w:r>
      <w:r w:rsidR="00986DBE">
        <w:rPr>
          <w:lang w:eastAsia="es-PE"/>
        </w:rPr>
        <w:t xml:space="preserve">                                  </w:t>
      </w:r>
      <w:r>
        <w:rPr>
          <w:lang w:eastAsia="es-PE"/>
        </w:rPr>
        <w:t xml:space="preserve">IC </w:t>
      </w:r>
      <w:r w:rsidR="00986DBE">
        <w:rPr>
          <w:lang w:eastAsia="es-PE"/>
        </w:rPr>
        <w:t xml:space="preserve">611 e IC </w:t>
      </w:r>
      <w:r>
        <w:rPr>
          <w:lang w:eastAsia="es-PE"/>
        </w:rPr>
        <w:t>616</w:t>
      </w:r>
    </w:p>
    <w:p w:rsidR="00C22832" w:rsidRDefault="00C22832" w:rsidP="00C22832">
      <w:pPr>
        <w:pStyle w:val="Sinespaciado"/>
        <w:jc w:val="both"/>
        <w:rPr>
          <w:lang w:eastAsia="es-PE"/>
        </w:rPr>
      </w:pPr>
      <w:r>
        <w:rPr>
          <w:lang w:eastAsia="es-PE"/>
        </w:rPr>
        <w:t xml:space="preserve"> </w:t>
      </w:r>
    </w:p>
    <w:p w:rsidR="00C22832" w:rsidRPr="00986DBE" w:rsidRDefault="00986DBE" w:rsidP="00C22832">
      <w:pPr>
        <w:pStyle w:val="Sinespaciado"/>
        <w:jc w:val="both"/>
        <w:rPr>
          <w:i/>
          <w:color w:val="FF0000"/>
          <w:lang w:eastAsia="es-PE"/>
        </w:rPr>
      </w:pPr>
      <w:r w:rsidRPr="00986DBE">
        <w:rPr>
          <w:i/>
          <w:color w:val="FF0000"/>
          <w:lang w:eastAsia="es-PE"/>
        </w:rPr>
        <w:t>Las imágenes referenciales deben tener la función que le permita al usuario a hacer click sobre ellas y poder ampliarlas tal y como se ha venido haciendo en los casos anteriores.</w:t>
      </w:r>
      <w:r>
        <w:rPr>
          <w:i/>
          <w:color w:val="FF0000"/>
          <w:lang w:eastAsia="es-PE"/>
        </w:rPr>
        <w:t xml:space="preserve"> En cuanto a la posición van de manera paralela al final de la definición general del principio de funcionamiento de intercambiadores de calor aire – aire.</w:t>
      </w:r>
    </w:p>
    <w:p w:rsidR="00C22832" w:rsidRDefault="00C22832" w:rsidP="00903AD3">
      <w:pPr>
        <w:pStyle w:val="Sinespaciado"/>
        <w:jc w:val="both"/>
      </w:pPr>
    </w:p>
    <w:p w:rsidR="00061D63" w:rsidRPr="00061D63" w:rsidRDefault="00061D63" w:rsidP="00903AD3">
      <w:pPr>
        <w:pStyle w:val="Sinespaciado"/>
        <w:jc w:val="both"/>
        <w:rPr>
          <w:i/>
          <w:color w:val="FF0000"/>
        </w:rPr>
      </w:pPr>
      <w:r w:rsidRPr="00061D63">
        <w:rPr>
          <w:i/>
          <w:color w:val="FF0000"/>
        </w:rPr>
        <w:t>A esta última definición agregarle la función (+) maximizar (-) minimizar a elección del usuario.</w:t>
      </w:r>
    </w:p>
    <w:p w:rsidR="00FD66A4" w:rsidRDefault="00FD66A4" w:rsidP="00903AD3">
      <w:pPr>
        <w:pStyle w:val="Sinespaciado"/>
        <w:jc w:val="both"/>
      </w:pPr>
    </w:p>
    <w:p w:rsidR="00FD66A4" w:rsidRPr="00FD66A4" w:rsidRDefault="00FD66A4" w:rsidP="00903AD3">
      <w:pPr>
        <w:pStyle w:val="Sinespaciado"/>
        <w:jc w:val="both"/>
        <w:rPr>
          <w:b/>
        </w:rPr>
      </w:pPr>
      <w:r w:rsidRPr="00FD66A4">
        <w:rPr>
          <w:b/>
        </w:rPr>
        <w:t xml:space="preserve">Características de los motores asíncronos de jaula de ardilla con intercambiadores de calor aire – aire IC 611, IC 616 e IC 666. </w:t>
      </w:r>
      <w:bookmarkStart w:id="2" w:name="_GoBack"/>
      <w:bookmarkEnd w:id="2"/>
    </w:p>
    <w:p w:rsidR="00FD66A4" w:rsidRDefault="00FD66A4" w:rsidP="00903AD3">
      <w:pPr>
        <w:pStyle w:val="Sinespaciado"/>
        <w:jc w:val="both"/>
      </w:pPr>
    </w:p>
    <w:p w:rsidR="00FD66A4" w:rsidRDefault="00FD66A4" w:rsidP="00FD66A4">
      <w:pPr>
        <w:pStyle w:val="Sinespaciado"/>
        <w:jc w:val="both"/>
        <w:rPr>
          <w:lang w:eastAsia="es-PE"/>
        </w:rPr>
      </w:pPr>
      <w:r w:rsidRPr="00FD66A4">
        <w:rPr>
          <w:lang w:eastAsia="es-PE"/>
        </w:rPr>
        <w:t xml:space="preserve">En </w:t>
      </w:r>
      <w:r>
        <w:rPr>
          <w:lang w:eastAsia="es-PE"/>
        </w:rPr>
        <w:t xml:space="preserve">la </w:t>
      </w:r>
      <w:r w:rsidRPr="00FD66A4">
        <w:rPr>
          <w:lang w:eastAsia="es-PE"/>
        </w:rPr>
        <w:t xml:space="preserve">serie modular MEBKSL, </w:t>
      </w:r>
      <w:r>
        <w:rPr>
          <w:lang w:eastAsia="es-PE"/>
        </w:rPr>
        <w:t>se ofrecen</w:t>
      </w:r>
      <w:r w:rsidRPr="00FD66A4">
        <w:rPr>
          <w:lang w:eastAsia="es-PE"/>
        </w:rPr>
        <w:t xml:space="preserve"> motores </w:t>
      </w:r>
      <w:r>
        <w:rPr>
          <w:lang w:eastAsia="es-PE"/>
        </w:rPr>
        <w:t>asíncronos</w:t>
      </w:r>
      <w:r w:rsidRPr="00FD66A4">
        <w:rPr>
          <w:lang w:eastAsia="es-PE"/>
        </w:rPr>
        <w:t xml:space="preserve"> de jaula de ardilla y opciones de diseño flexibles, en los rangos de baja tensión, media tensión y alta tensión. El diseño básico estándar de motores eléctricos MPKSL es idéntico, pero las opciones de refrigeración, protección y montaje son múltiples.</w:t>
      </w:r>
    </w:p>
    <w:p w:rsidR="00FD66A4" w:rsidRPr="00FD66A4" w:rsidRDefault="00FD66A4" w:rsidP="00FD66A4">
      <w:pPr>
        <w:pStyle w:val="Sinespaciado"/>
        <w:jc w:val="both"/>
        <w:rPr>
          <w:lang w:eastAsia="es-PE"/>
        </w:rPr>
      </w:pPr>
    </w:p>
    <w:p w:rsidR="00FD66A4" w:rsidRPr="00FD66A4" w:rsidRDefault="00FD66A4" w:rsidP="00FD66A4">
      <w:pPr>
        <w:pStyle w:val="Sinespaciado"/>
        <w:jc w:val="both"/>
        <w:rPr>
          <w:lang w:eastAsia="es-PE"/>
        </w:rPr>
      </w:pPr>
      <w:r w:rsidRPr="00FD66A4">
        <w:rPr>
          <w:lang w:eastAsia="es-PE"/>
        </w:rPr>
        <w:t xml:space="preserve">Los motores eléctricos pueden adaptarse a todos los usos industriales posibles. Simultáneamente, el diseño básico estándar de </w:t>
      </w:r>
      <w:r>
        <w:rPr>
          <w:lang w:eastAsia="es-PE"/>
        </w:rPr>
        <w:t>los</w:t>
      </w:r>
      <w:r w:rsidRPr="00FD66A4">
        <w:rPr>
          <w:lang w:eastAsia="es-PE"/>
        </w:rPr>
        <w:t xml:space="preserve"> motores modulares de jaula de ardilla </w:t>
      </w:r>
      <w:r>
        <w:rPr>
          <w:lang w:eastAsia="es-PE"/>
        </w:rPr>
        <w:t xml:space="preserve">MENZEL </w:t>
      </w:r>
      <w:r w:rsidRPr="00FD66A4">
        <w:rPr>
          <w:lang w:eastAsia="es-PE"/>
        </w:rPr>
        <w:t>reduce</w:t>
      </w:r>
      <w:r>
        <w:rPr>
          <w:lang w:eastAsia="es-PE"/>
        </w:rPr>
        <w:t>n</w:t>
      </w:r>
      <w:r w:rsidRPr="00FD66A4">
        <w:rPr>
          <w:lang w:eastAsia="es-PE"/>
        </w:rPr>
        <w:t xml:space="preserve"> los costos y aumenta la flexibilidad.</w:t>
      </w:r>
    </w:p>
    <w:p w:rsidR="00FD66A4" w:rsidRPr="005C674C" w:rsidRDefault="00FD66A4" w:rsidP="00FD66A4">
      <w:pPr>
        <w:pStyle w:val="Sinespaciado"/>
        <w:jc w:val="both"/>
      </w:pPr>
    </w:p>
    <w:sectPr w:rsidR="00FD66A4" w:rsidRPr="005C674C" w:rsidSect="005C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033"/>
    <w:multiLevelType w:val="hybridMultilevel"/>
    <w:tmpl w:val="A962C7C6"/>
    <w:lvl w:ilvl="0" w:tplc="88640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94C2D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0E044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18B2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4651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16C3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4C94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06A08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4C8F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6807475"/>
    <w:multiLevelType w:val="hybridMultilevel"/>
    <w:tmpl w:val="D70EBCD2"/>
    <w:lvl w:ilvl="0" w:tplc="5F247D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C1DF8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E24DB3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4FC9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60C2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2CF1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0D1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E1E4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E9D1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33AD"/>
    <w:multiLevelType w:val="hybridMultilevel"/>
    <w:tmpl w:val="86F04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2665"/>
    <w:multiLevelType w:val="hybridMultilevel"/>
    <w:tmpl w:val="4872C7FE"/>
    <w:lvl w:ilvl="0" w:tplc="0FF0E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66F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A4F7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73061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3FE6D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C8CB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B098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0CECC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F5677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30F768D"/>
    <w:multiLevelType w:val="hybridMultilevel"/>
    <w:tmpl w:val="99BE7380"/>
    <w:lvl w:ilvl="0" w:tplc="686A0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378D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D4EA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6C86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54280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5AD7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3ACDC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7662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46E1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79B6F34"/>
    <w:multiLevelType w:val="hybridMultilevel"/>
    <w:tmpl w:val="BCF4798A"/>
    <w:lvl w:ilvl="0" w:tplc="37A4F7F0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49AC1B74"/>
    <w:multiLevelType w:val="hybridMultilevel"/>
    <w:tmpl w:val="EF52BA58"/>
    <w:lvl w:ilvl="0" w:tplc="3444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86412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58C3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EB05F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4C89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3A56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1486D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35EEA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2A056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AAC4C4C"/>
    <w:multiLevelType w:val="hybridMultilevel"/>
    <w:tmpl w:val="9E36F242"/>
    <w:lvl w:ilvl="0" w:tplc="803032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C8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6D0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224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84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ECF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6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44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C64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4C"/>
    <w:rsid w:val="00061D63"/>
    <w:rsid w:val="005060A3"/>
    <w:rsid w:val="005C674C"/>
    <w:rsid w:val="0086402A"/>
    <w:rsid w:val="00903AD3"/>
    <w:rsid w:val="009057CF"/>
    <w:rsid w:val="00986DBE"/>
    <w:rsid w:val="00A4618E"/>
    <w:rsid w:val="00C22832"/>
    <w:rsid w:val="00E307D8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9AAEE"/>
  <w15:chartTrackingRefBased/>
  <w15:docId w15:val="{047A013A-8335-438A-8969-64F036D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-text-large">
    <w:name w:val="u-text-large"/>
    <w:basedOn w:val="Normal"/>
    <w:rsid w:val="005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5C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5C674C"/>
    <w:rPr>
      <w:color w:val="0000FF"/>
      <w:u w:val="single"/>
    </w:rPr>
  </w:style>
  <w:style w:type="paragraph" w:styleId="Sinespaciado">
    <w:name w:val="No Spacing"/>
    <w:uiPriority w:val="1"/>
    <w:qFormat/>
    <w:rsid w:val="005C6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5</cp:revision>
  <dcterms:created xsi:type="dcterms:W3CDTF">2019-03-04T21:31:00Z</dcterms:created>
  <dcterms:modified xsi:type="dcterms:W3CDTF">2019-03-07T14:53:00Z</dcterms:modified>
</cp:coreProperties>
</file>